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A019F" w14:textId="77777777" w:rsidR="00B04493" w:rsidRDefault="00237209" w:rsidP="005F0180">
      <w:pPr>
        <w:spacing w:after="0" w:line="240" w:lineRule="auto"/>
        <w:jc w:val="both"/>
        <w:rPr>
          <w:rFonts w:ascii="Arial" w:hAnsi="Arial" w:cs="Arial"/>
        </w:rPr>
      </w:pPr>
      <w:r w:rsidRPr="00B041BF">
        <w:rPr>
          <w:rFonts w:ascii="Arial" w:hAnsi="Arial" w:cs="Arial"/>
        </w:rPr>
        <w:t xml:space="preserve">SOPs “detail written instructions describing specific steps to follow in all activities under defined conditions”. SOPs are necessary to </w:t>
      </w:r>
      <w:r w:rsidR="00FF4B1F" w:rsidRPr="00B041BF">
        <w:rPr>
          <w:rFonts w:ascii="Arial" w:hAnsi="Arial" w:cs="Arial"/>
        </w:rPr>
        <w:t>clearly define the processes and procedures within your pharmacy to ens</w:t>
      </w:r>
      <w:r w:rsidR="00111F94" w:rsidRPr="00B041BF">
        <w:rPr>
          <w:rFonts w:ascii="Arial" w:hAnsi="Arial" w:cs="Arial"/>
        </w:rPr>
        <w:t xml:space="preserve">ure that good practice is achieved at all times. </w:t>
      </w:r>
      <w:r w:rsidRPr="00B041BF">
        <w:rPr>
          <w:rFonts w:ascii="Arial" w:hAnsi="Arial" w:cs="Arial"/>
        </w:rPr>
        <w:t>They form part of clinical governance, and in particular, show that pharmacists are putting in place strategies for risk man</w:t>
      </w:r>
      <w:r w:rsidR="00B04493" w:rsidRPr="00B041BF">
        <w:rPr>
          <w:rFonts w:ascii="Arial" w:hAnsi="Arial" w:cs="Arial"/>
        </w:rPr>
        <w:t xml:space="preserve">agement and harm minimisation. </w:t>
      </w:r>
    </w:p>
    <w:p w14:paraId="1F7CFA58" w14:textId="77777777" w:rsidR="005F0180" w:rsidRPr="00B041BF" w:rsidRDefault="005F0180" w:rsidP="005F0180">
      <w:pPr>
        <w:spacing w:after="0" w:line="240" w:lineRule="auto"/>
        <w:jc w:val="both"/>
        <w:rPr>
          <w:rFonts w:ascii="Arial" w:hAnsi="Arial" w:cs="Arial"/>
        </w:rPr>
      </w:pPr>
    </w:p>
    <w:p w14:paraId="189CC3AF" w14:textId="77777777" w:rsidR="00B04493" w:rsidRDefault="00FF4B1F" w:rsidP="005F0180">
      <w:pPr>
        <w:spacing w:after="0" w:line="240" w:lineRule="auto"/>
        <w:jc w:val="both"/>
        <w:rPr>
          <w:rFonts w:ascii="Arial" w:hAnsi="Arial" w:cs="Arial"/>
        </w:rPr>
      </w:pPr>
      <w:r w:rsidRPr="00B041BF">
        <w:rPr>
          <w:rFonts w:ascii="Arial" w:hAnsi="Arial" w:cs="Arial"/>
        </w:rPr>
        <w:t>All pharmacies operate differently and your SOPs</w:t>
      </w:r>
      <w:r w:rsidR="00B041BF">
        <w:rPr>
          <w:rFonts w:ascii="Arial" w:hAnsi="Arial" w:cs="Arial"/>
        </w:rPr>
        <w:t xml:space="preserve"> should be</w:t>
      </w:r>
      <w:r w:rsidR="00B041BF" w:rsidRPr="00B041BF">
        <w:rPr>
          <w:rFonts w:ascii="Arial" w:hAnsi="Arial" w:cs="Arial"/>
        </w:rPr>
        <w:t xml:space="preserve"> regularly reviewed to ensure they are fit for purpose and reflect the day to day r</w:t>
      </w:r>
      <w:r w:rsidR="00B041BF">
        <w:rPr>
          <w:rFonts w:ascii="Arial" w:hAnsi="Arial" w:cs="Arial"/>
        </w:rPr>
        <w:t>unning of the specific pharmacy premises</w:t>
      </w:r>
      <w:r w:rsidRPr="00B041BF">
        <w:rPr>
          <w:rFonts w:ascii="Arial" w:hAnsi="Arial" w:cs="Arial"/>
        </w:rPr>
        <w:t>. All relevant staff members should be involved in developing and reviewing SOPs</w:t>
      </w:r>
      <w:r w:rsidR="00101C41" w:rsidRPr="00B041BF">
        <w:rPr>
          <w:rFonts w:ascii="Arial" w:hAnsi="Arial" w:cs="Arial"/>
        </w:rPr>
        <w:t xml:space="preserve"> to engage staff</w:t>
      </w:r>
      <w:r w:rsidRPr="00B041BF">
        <w:rPr>
          <w:rFonts w:ascii="Arial" w:hAnsi="Arial" w:cs="Arial"/>
        </w:rPr>
        <w:t xml:space="preserve"> and provide an opportunity</w:t>
      </w:r>
      <w:r w:rsidR="00327996" w:rsidRPr="00B041BF">
        <w:rPr>
          <w:rFonts w:ascii="Arial" w:hAnsi="Arial" w:cs="Arial"/>
        </w:rPr>
        <w:t xml:space="preserve"> </w:t>
      </w:r>
      <w:r w:rsidRPr="00B041BF">
        <w:rPr>
          <w:rFonts w:ascii="Arial" w:hAnsi="Arial" w:cs="Arial"/>
        </w:rPr>
        <w:t xml:space="preserve">for role clarification. </w:t>
      </w:r>
      <w:r w:rsidR="00F24C74" w:rsidRPr="00B041BF">
        <w:rPr>
          <w:rFonts w:ascii="Arial" w:hAnsi="Arial" w:cs="Arial"/>
        </w:rPr>
        <w:t>SOPs pr</w:t>
      </w:r>
      <w:r w:rsidR="00C26AE3" w:rsidRPr="00B041BF">
        <w:rPr>
          <w:rFonts w:ascii="Arial" w:hAnsi="Arial" w:cs="Arial"/>
        </w:rPr>
        <w:t>ovide a useful tool for the induction of</w:t>
      </w:r>
      <w:r w:rsidR="00F24C74" w:rsidRPr="00B041BF">
        <w:rPr>
          <w:rFonts w:ascii="Arial" w:hAnsi="Arial" w:cs="Arial"/>
        </w:rPr>
        <w:t xml:space="preserve"> new staff and help identify training </w:t>
      </w:r>
      <w:r w:rsidR="00101C41" w:rsidRPr="00B041BF">
        <w:rPr>
          <w:rFonts w:ascii="Arial" w:hAnsi="Arial" w:cs="Arial"/>
        </w:rPr>
        <w:t xml:space="preserve">and development </w:t>
      </w:r>
      <w:r w:rsidR="00F24C74" w:rsidRPr="00B041BF">
        <w:rPr>
          <w:rFonts w:ascii="Arial" w:hAnsi="Arial" w:cs="Arial"/>
        </w:rPr>
        <w:t>needs</w:t>
      </w:r>
      <w:r w:rsidR="00C26AE3" w:rsidRPr="00B041BF">
        <w:rPr>
          <w:rFonts w:ascii="Arial" w:hAnsi="Arial" w:cs="Arial"/>
        </w:rPr>
        <w:t xml:space="preserve"> for current members of </w:t>
      </w:r>
      <w:r w:rsidR="00B04493" w:rsidRPr="00B041BF">
        <w:rPr>
          <w:rFonts w:ascii="Arial" w:hAnsi="Arial" w:cs="Arial"/>
        </w:rPr>
        <w:t>the pharmacy team</w:t>
      </w:r>
      <w:r w:rsidR="00F24C74" w:rsidRPr="00B041BF">
        <w:rPr>
          <w:rFonts w:ascii="Arial" w:hAnsi="Arial" w:cs="Arial"/>
        </w:rPr>
        <w:t>.</w:t>
      </w:r>
      <w:r w:rsidR="00B04493" w:rsidRPr="00B041BF">
        <w:rPr>
          <w:rFonts w:ascii="Arial" w:hAnsi="Arial" w:cs="Arial"/>
        </w:rPr>
        <w:t xml:space="preserve"> </w:t>
      </w:r>
    </w:p>
    <w:p w14:paraId="510BCF83" w14:textId="77777777" w:rsidR="005F0180" w:rsidRPr="00B041BF" w:rsidRDefault="005F0180" w:rsidP="005F0180">
      <w:pPr>
        <w:spacing w:after="0" w:line="240" w:lineRule="auto"/>
        <w:jc w:val="both"/>
        <w:rPr>
          <w:rFonts w:ascii="Arial" w:hAnsi="Arial" w:cs="Arial"/>
        </w:rPr>
      </w:pPr>
    </w:p>
    <w:p w14:paraId="4D24C49B" w14:textId="77777777" w:rsidR="00F24C74" w:rsidRDefault="00B04493" w:rsidP="005F0180">
      <w:pPr>
        <w:spacing w:after="0" w:line="240" w:lineRule="auto"/>
        <w:jc w:val="both"/>
        <w:rPr>
          <w:rFonts w:ascii="Arial" w:hAnsi="Arial" w:cs="Arial"/>
        </w:rPr>
      </w:pPr>
      <w:r w:rsidRPr="00B041BF">
        <w:rPr>
          <w:rFonts w:ascii="Arial" w:hAnsi="Arial" w:cs="Arial"/>
        </w:rPr>
        <w:t>Community p</w:t>
      </w:r>
      <w:r w:rsidR="00327996" w:rsidRPr="00B041BF">
        <w:rPr>
          <w:rFonts w:ascii="Arial" w:hAnsi="Arial" w:cs="Arial"/>
        </w:rPr>
        <w:t xml:space="preserve">harmacies will </w:t>
      </w:r>
      <w:r w:rsidRPr="00B041BF">
        <w:rPr>
          <w:rFonts w:ascii="Arial" w:hAnsi="Arial" w:cs="Arial"/>
        </w:rPr>
        <w:t xml:space="preserve">have SOPs in place for all aspects of dispensing and services provided within the pharmacy and these should be readily available </w:t>
      </w:r>
      <w:r w:rsidR="00327996" w:rsidRPr="00B041BF">
        <w:rPr>
          <w:rFonts w:ascii="Arial" w:hAnsi="Arial" w:cs="Arial"/>
        </w:rPr>
        <w:t>to</w:t>
      </w:r>
      <w:r w:rsidRPr="00B041BF">
        <w:rPr>
          <w:rFonts w:ascii="Arial" w:hAnsi="Arial" w:cs="Arial"/>
        </w:rPr>
        <w:t xml:space="preserve"> relevant staff at all times, including locums. </w:t>
      </w:r>
    </w:p>
    <w:p w14:paraId="16975D5B" w14:textId="77777777" w:rsidR="005F0180" w:rsidRPr="00B041BF" w:rsidRDefault="005F0180" w:rsidP="005F0180">
      <w:pPr>
        <w:spacing w:after="0" w:line="240" w:lineRule="auto"/>
        <w:jc w:val="both"/>
        <w:rPr>
          <w:rFonts w:ascii="Arial" w:hAnsi="Arial" w:cs="Arial"/>
        </w:rPr>
      </w:pPr>
    </w:p>
    <w:p w14:paraId="47E526E1" w14:textId="77777777" w:rsidR="00B04493" w:rsidRPr="00B041BF" w:rsidRDefault="00B04493" w:rsidP="005F0180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B041BF">
        <w:rPr>
          <w:rFonts w:ascii="Arial" w:hAnsi="Arial" w:cs="Arial"/>
          <w:b/>
          <w:sz w:val="24"/>
        </w:rPr>
        <w:t>SOP Content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720"/>
        <w:gridCol w:w="2293"/>
        <w:gridCol w:w="5054"/>
      </w:tblGrid>
      <w:tr w:rsidR="00101C41" w:rsidRPr="00B041BF" w14:paraId="6B6B9525" w14:textId="77777777" w:rsidTr="005F0180">
        <w:tc>
          <w:tcPr>
            <w:tcW w:w="1720" w:type="dxa"/>
            <w:vAlign w:val="center"/>
          </w:tcPr>
          <w:p w14:paraId="3D114FC5" w14:textId="77777777" w:rsidR="00101C41" w:rsidRPr="00B041BF" w:rsidRDefault="00101C41" w:rsidP="005F0180">
            <w:pPr>
              <w:jc w:val="center"/>
              <w:rPr>
                <w:rFonts w:ascii="Arial" w:hAnsi="Arial" w:cs="Arial"/>
                <w:b/>
              </w:rPr>
            </w:pPr>
            <w:r w:rsidRPr="00B041BF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7347" w:type="dxa"/>
            <w:gridSpan w:val="2"/>
            <w:vAlign w:val="center"/>
          </w:tcPr>
          <w:p w14:paraId="5C2DFDB9" w14:textId="77777777" w:rsidR="00101C41" w:rsidRPr="00B041BF" w:rsidRDefault="00101C41" w:rsidP="005F0180">
            <w:pPr>
              <w:rPr>
                <w:rFonts w:ascii="Arial" w:hAnsi="Arial" w:cs="Arial"/>
              </w:rPr>
            </w:pPr>
            <w:r w:rsidRPr="00B041BF">
              <w:rPr>
                <w:rFonts w:ascii="Arial" w:hAnsi="Arial" w:cs="Arial"/>
              </w:rPr>
              <w:t>Identify the purpose of the SOP</w:t>
            </w:r>
            <w:r w:rsidR="00B041BF">
              <w:rPr>
                <w:rFonts w:ascii="Arial" w:hAnsi="Arial" w:cs="Arial"/>
              </w:rPr>
              <w:t>.</w:t>
            </w:r>
          </w:p>
        </w:tc>
      </w:tr>
      <w:tr w:rsidR="00101C41" w:rsidRPr="00B041BF" w14:paraId="06F3DBA3" w14:textId="77777777" w:rsidTr="005F0180">
        <w:trPr>
          <w:trHeight w:val="390"/>
        </w:trPr>
        <w:tc>
          <w:tcPr>
            <w:tcW w:w="1720" w:type="dxa"/>
            <w:vAlign w:val="center"/>
          </w:tcPr>
          <w:p w14:paraId="19459EB6" w14:textId="77777777" w:rsidR="00101C41" w:rsidRPr="00B041BF" w:rsidRDefault="00101C41" w:rsidP="005F0180">
            <w:pPr>
              <w:jc w:val="center"/>
              <w:rPr>
                <w:rFonts w:ascii="Arial" w:hAnsi="Arial" w:cs="Arial"/>
                <w:b/>
              </w:rPr>
            </w:pPr>
            <w:r w:rsidRPr="00B041BF">
              <w:rPr>
                <w:rFonts w:ascii="Arial" w:hAnsi="Arial" w:cs="Arial"/>
                <w:b/>
              </w:rPr>
              <w:t>Purpose</w:t>
            </w:r>
          </w:p>
        </w:tc>
        <w:tc>
          <w:tcPr>
            <w:tcW w:w="7347" w:type="dxa"/>
            <w:gridSpan w:val="2"/>
            <w:vAlign w:val="center"/>
          </w:tcPr>
          <w:p w14:paraId="1EE65FBF" w14:textId="77777777" w:rsidR="00101C41" w:rsidRPr="00B041BF" w:rsidRDefault="00101C41" w:rsidP="005F0180">
            <w:pPr>
              <w:rPr>
                <w:rFonts w:ascii="Arial" w:hAnsi="Arial" w:cs="Arial"/>
              </w:rPr>
            </w:pPr>
            <w:r w:rsidRPr="00B041BF">
              <w:rPr>
                <w:rFonts w:ascii="Arial" w:hAnsi="Arial" w:cs="Arial"/>
              </w:rPr>
              <w:t>This section should describe what your SOP is trying to achieve.</w:t>
            </w:r>
          </w:p>
        </w:tc>
      </w:tr>
      <w:tr w:rsidR="00101C41" w:rsidRPr="00B041BF" w14:paraId="17203088" w14:textId="77777777" w:rsidTr="005F0180">
        <w:trPr>
          <w:trHeight w:val="582"/>
        </w:trPr>
        <w:tc>
          <w:tcPr>
            <w:tcW w:w="1720" w:type="dxa"/>
            <w:vAlign w:val="center"/>
          </w:tcPr>
          <w:p w14:paraId="543DA6FF" w14:textId="77777777" w:rsidR="00101C41" w:rsidRPr="00B041BF" w:rsidRDefault="00101C41" w:rsidP="005F0180">
            <w:pPr>
              <w:jc w:val="center"/>
              <w:rPr>
                <w:rFonts w:ascii="Arial" w:hAnsi="Arial" w:cs="Arial"/>
                <w:b/>
              </w:rPr>
            </w:pPr>
            <w:r w:rsidRPr="00B041BF">
              <w:rPr>
                <w:rFonts w:ascii="Arial" w:hAnsi="Arial" w:cs="Arial"/>
                <w:b/>
              </w:rPr>
              <w:t>Scope</w:t>
            </w:r>
          </w:p>
        </w:tc>
        <w:tc>
          <w:tcPr>
            <w:tcW w:w="7347" w:type="dxa"/>
            <w:gridSpan w:val="2"/>
            <w:vAlign w:val="center"/>
          </w:tcPr>
          <w:p w14:paraId="5C3C79F9" w14:textId="77777777" w:rsidR="00B041BF" w:rsidRPr="00B041BF" w:rsidRDefault="00101C41" w:rsidP="005F0180">
            <w:pPr>
              <w:rPr>
                <w:rFonts w:ascii="Arial" w:hAnsi="Arial" w:cs="Arial"/>
              </w:rPr>
            </w:pPr>
            <w:r w:rsidRPr="00B041BF">
              <w:rPr>
                <w:rFonts w:ascii="Arial" w:hAnsi="Arial" w:cs="Arial"/>
              </w:rPr>
              <w:t>This section should specify exactly what areas of work your SOP will cover and what it won’t.</w:t>
            </w:r>
          </w:p>
        </w:tc>
      </w:tr>
      <w:tr w:rsidR="00101C41" w:rsidRPr="00B041BF" w14:paraId="7A9CDAD8" w14:textId="77777777" w:rsidTr="005F0180">
        <w:trPr>
          <w:trHeight w:val="523"/>
        </w:trPr>
        <w:tc>
          <w:tcPr>
            <w:tcW w:w="1720" w:type="dxa"/>
            <w:vAlign w:val="center"/>
          </w:tcPr>
          <w:p w14:paraId="48F29A89" w14:textId="77777777" w:rsidR="00101C41" w:rsidRPr="00B041BF" w:rsidRDefault="00101C41" w:rsidP="005F0180">
            <w:pPr>
              <w:jc w:val="center"/>
              <w:rPr>
                <w:rFonts w:ascii="Arial" w:hAnsi="Arial" w:cs="Arial"/>
                <w:b/>
              </w:rPr>
            </w:pPr>
            <w:r w:rsidRPr="00B041BF">
              <w:rPr>
                <w:rFonts w:ascii="Arial" w:hAnsi="Arial" w:cs="Arial"/>
                <w:b/>
              </w:rPr>
              <w:t>Procedure</w:t>
            </w:r>
          </w:p>
          <w:p w14:paraId="1E1F5E67" w14:textId="77777777" w:rsidR="00101C41" w:rsidRPr="00B041BF" w:rsidRDefault="00101C41" w:rsidP="005F01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47" w:type="dxa"/>
            <w:gridSpan w:val="2"/>
            <w:vAlign w:val="center"/>
          </w:tcPr>
          <w:p w14:paraId="347546B9" w14:textId="77777777" w:rsidR="00B041BF" w:rsidRDefault="00101C41" w:rsidP="005F0180">
            <w:pPr>
              <w:rPr>
                <w:rFonts w:ascii="Arial" w:hAnsi="Arial" w:cs="Arial"/>
              </w:rPr>
            </w:pPr>
            <w:r w:rsidRPr="00B041BF">
              <w:rPr>
                <w:rFonts w:ascii="Arial" w:hAnsi="Arial" w:cs="Arial"/>
              </w:rPr>
              <w:t>This section should describe in detail exactly how the tasks are carried out in your pharmacy in a step by step format.</w:t>
            </w:r>
          </w:p>
          <w:p w14:paraId="1226EE9E" w14:textId="77777777" w:rsidR="00037B19" w:rsidRPr="00037B19" w:rsidRDefault="00037B19" w:rsidP="005F0180">
            <w:pPr>
              <w:rPr>
                <w:rFonts w:ascii="Arial" w:hAnsi="Arial" w:cs="Arial"/>
                <w:sz w:val="2"/>
              </w:rPr>
            </w:pPr>
          </w:p>
        </w:tc>
      </w:tr>
      <w:tr w:rsidR="00101C41" w:rsidRPr="00B041BF" w14:paraId="29995DEC" w14:textId="77777777" w:rsidTr="005F0180">
        <w:tc>
          <w:tcPr>
            <w:tcW w:w="1720" w:type="dxa"/>
            <w:vAlign w:val="center"/>
          </w:tcPr>
          <w:p w14:paraId="6E847A31" w14:textId="77777777" w:rsidR="00101C41" w:rsidRPr="00B041BF" w:rsidRDefault="00101C41" w:rsidP="005F0180">
            <w:pPr>
              <w:jc w:val="center"/>
              <w:rPr>
                <w:rFonts w:ascii="Arial" w:hAnsi="Arial" w:cs="Arial"/>
                <w:b/>
              </w:rPr>
            </w:pPr>
            <w:r w:rsidRPr="00B041BF">
              <w:rPr>
                <w:rFonts w:ascii="Arial" w:hAnsi="Arial" w:cs="Arial"/>
                <w:b/>
              </w:rPr>
              <w:t>Responsibility</w:t>
            </w:r>
          </w:p>
          <w:p w14:paraId="6B508F07" w14:textId="77777777" w:rsidR="00101C41" w:rsidRPr="00B041BF" w:rsidRDefault="00101C41" w:rsidP="005F01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47" w:type="dxa"/>
            <w:gridSpan w:val="2"/>
            <w:vAlign w:val="center"/>
          </w:tcPr>
          <w:p w14:paraId="0C8BE8AC" w14:textId="77777777" w:rsidR="00B041BF" w:rsidRDefault="00101C41" w:rsidP="005F0180">
            <w:pPr>
              <w:rPr>
                <w:rFonts w:ascii="Arial" w:hAnsi="Arial" w:cs="Arial"/>
              </w:rPr>
            </w:pPr>
            <w:r w:rsidRPr="00B041BF">
              <w:rPr>
                <w:rFonts w:ascii="Arial" w:hAnsi="Arial" w:cs="Arial"/>
              </w:rPr>
              <w:t>The SOP needs to specify who is responsible for different steps in the process. The SOP must ensure that staff responsibilities are clear and that staff members involved a</w:t>
            </w:r>
            <w:r w:rsidR="0050148F">
              <w:rPr>
                <w:rFonts w:ascii="Arial" w:hAnsi="Arial" w:cs="Arial"/>
              </w:rPr>
              <w:t>re competent to do whatever</w:t>
            </w:r>
            <w:r w:rsidRPr="00B041BF">
              <w:rPr>
                <w:rFonts w:ascii="Arial" w:hAnsi="Arial" w:cs="Arial"/>
              </w:rPr>
              <w:t xml:space="preserve"> tasks have been designated to them. This should be based on an assessment of each person’s competence and level of qualification.</w:t>
            </w:r>
          </w:p>
          <w:p w14:paraId="6E69BBF7" w14:textId="77777777" w:rsidR="00037B19" w:rsidRPr="00037B19" w:rsidRDefault="00037B19" w:rsidP="005F0180">
            <w:pPr>
              <w:rPr>
                <w:rFonts w:ascii="Arial" w:hAnsi="Arial" w:cs="Arial"/>
                <w:sz w:val="2"/>
              </w:rPr>
            </w:pPr>
          </w:p>
          <w:p w14:paraId="695CD662" w14:textId="77777777" w:rsidR="00037B19" w:rsidRPr="00037B19" w:rsidRDefault="00037B19" w:rsidP="005F0180">
            <w:pPr>
              <w:rPr>
                <w:rFonts w:ascii="Arial" w:hAnsi="Arial" w:cs="Arial"/>
                <w:sz w:val="2"/>
              </w:rPr>
            </w:pPr>
          </w:p>
        </w:tc>
      </w:tr>
      <w:tr w:rsidR="00101C41" w:rsidRPr="00B041BF" w14:paraId="76A4E670" w14:textId="77777777" w:rsidTr="005F0180">
        <w:trPr>
          <w:trHeight w:val="1033"/>
        </w:trPr>
        <w:tc>
          <w:tcPr>
            <w:tcW w:w="1720" w:type="dxa"/>
            <w:vAlign w:val="center"/>
          </w:tcPr>
          <w:p w14:paraId="7BB4E4EC" w14:textId="77777777" w:rsidR="00101C41" w:rsidRPr="00B041BF" w:rsidRDefault="00101C41" w:rsidP="005F0180">
            <w:pPr>
              <w:jc w:val="center"/>
              <w:rPr>
                <w:rFonts w:ascii="Arial" w:hAnsi="Arial" w:cs="Arial"/>
                <w:b/>
              </w:rPr>
            </w:pPr>
            <w:r w:rsidRPr="00B041BF">
              <w:rPr>
                <w:rFonts w:ascii="Arial" w:hAnsi="Arial" w:cs="Arial"/>
                <w:b/>
              </w:rPr>
              <w:t>Known Risks</w:t>
            </w:r>
          </w:p>
          <w:p w14:paraId="65BF28CB" w14:textId="77777777" w:rsidR="00101C41" w:rsidRPr="00B041BF" w:rsidRDefault="00101C41" w:rsidP="005F01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47" w:type="dxa"/>
            <w:gridSpan w:val="2"/>
            <w:vAlign w:val="center"/>
          </w:tcPr>
          <w:p w14:paraId="718CE5B6" w14:textId="77777777" w:rsidR="00101C41" w:rsidRDefault="00101C41" w:rsidP="005F0180">
            <w:pPr>
              <w:rPr>
                <w:rFonts w:ascii="Arial" w:hAnsi="Arial" w:cs="Arial"/>
              </w:rPr>
            </w:pPr>
            <w:r w:rsidRPr="00B041BF">
              <w:rPr>
                <w:rFonts w:ascii="Arial" w:hAnsi="Arial" w:cs="Arial"/>
              </w:rPr>
              <w:t>This section should contain a description of anything you are aware of that can make the procedure more high risk than usual. These are circumstances that you know can increase the likelihood of mistakes and w</w:t>
            </w:r>
            <w:r w:rsidR="008339B7">
              <w:rPr>
                <w:rFonts w:ascii="Arial" w:hAnsi="Arial" w:cs="Arial"/>
              </w:rPr>
              <w:t xml:space="preserve">here you believe extra </w:t>
            </w:r>
            <w:r w:rsidRPr="00B041BF">
              <w:rPr>
                <w:rFonts w:ascii="Arial" w:hAnsi="Arial" w:cs="Arial"/>
              </w:rPr>
              <w:t>attention should be paid.</w:t>
            </w:r>
          </w:p>
          <w:p w14:paraId="45555B85" w14:textId="77777777" w:rsidR="00037B19" w:rsidRPr="00037B19" w:rsidRDefault="00037B19" w:rsidP="005F0180">
            <w:pPr>
              <w:rPr>
                <w:rFonts w:ascii="Arial" w:hAnsi="Arial" w:cs="Arial"/>
                <w:sz w:val="10"/>
              </w:rPr>
            </w:pPr>
          </w:p>
        </w:tc>
      </w:tr>
      <w:tr w:rsidR="00101C41" w:rsidRPr="00B041BF" w14:paraId="2D318169" w14:textId="77777777" w:rsidTr="005F0180">
        <w:trPr>
          <w:trHeight w:val="580"/>
        </w:trPr>
        <w:tc>
          <w:tcPr>
            <w:tcW w:w="1720" w:type="dxa"/>
            <w:vAlign w:val="center"/>
          </w:tcPr>
          <w:p w14:paraId="2F2950D2" w14:textId="77777777" w:rsidR="00101C41" w:rsidRPr="00B041BF" w:rsidRDefault="00101C41" w:rsidP="005F0180">
            <w:pPr>
              <w:jc w:val="center"/>
              <w:rPr>
                <w:rFonts w:ascii="Arial" w:hAnsi="Arial" w:cs="Arial"/>
                <w:b/>
              </w:rPr>
            </w:pPr>
            <w:r w:rsidRPr="00B041BF">
              <w:rPr>
                <w:rFonts w:ascii="Arial" w:hAnsi="Arial" w:cs="Arial"/>
                <w:b/>
              </w:rPr>
              <w:t>Staff Signatures</w:t>
            </w:r>
          </w:p>
        </w:tc>
        <w:tc>
          <w:tcPr>
            <w:tcW w:w="7347" w:type="dxa"/>
            <w:gridSpan w:val="2"/>
            <w:vAlign w:val="center"/>
          </w:tcPr>
          <w:p w14:paraId="5F0E6520" w14:textId="77777777" w:rsidR="00101C41" w:rsidRDefault="00101C41" w:rsidP="005F0180">
            <w:pPr>
              <w:rPr>
                <w:rFonts w:ascii="Arial" w:hAnsi="Arial" w:cs="Arial"/>
              </w:rPr>
            </w:pPr>
            <w:r w:rsidRPr="00B041BF">
              <w:rPr>
                <w:rFonts w:ascii="Arial" w:hAnsi="Arial" w:cs="Arial"/>
              </w:rPr>
              <w:t>All staff members should read and sign each SOP to</w:t>
            </w:r>
            <w:r w:rsidR="00F83242">
              <w:rPr>
                <w:rFonts w:ascii="Arial" w:hAnsi="Arial" w:cs="Arial"/>
              </w:rPr>
              <w:t xml:space="preserve"> confirm they understand and acc</w:t>
            </w:r>
            <w:r w:rsidRPr="00B041BF">
              <w:rPr>
                <w:rFonts w:ascii="Arial" w:hAnsi="Arial" w:cs="Arial"/>
              </w:rPr>
              <w:t>ept the responsibilities assigned to them.</w:t>
            </w:r>
          </w:p>
          <w:p w14:paraId="464A587D" w14:textId="77777777" w:rsidR="00037B19" w:rsidRPr="00037B19" w:rsidRDefault="00037B19" w:rsidP="005F0180">
            <w:pPr>
              <w:rPr>
                <w:rFonts w:ascii="Arial" w:hAnsi="Arial" w:cs="Arial"/>
                <w:sz w:val="6"/>
              </w:rPr>
            </w:pPr>
          </w:p>
        </w:tc>
      </w:tr>
      <w:tr w:rsidR="00B041BF" w:rsidRPr="00B041BF" w14:paraId="2A5F2DC8" w14:textId="77777777" w:rsidTr="005F0180">
        <w:tc>
          <w:tcPr>
            <w:tcW w:w="1720" w:type="dxa"/>
            <w:vMerge w:val="restart"/>
            <w:vAlign w:val="center"/>
          </w:tcPr>
          <w:p w14:paraId="5F3E765B" w14:textId="77777777" w:rsidR="00B041BF" w:rsidRPr="00B041BF" w:rsidRDefault="00B041BF" w:rsidP="005F0180">
            <w:pPr>
              <w:jc w:val="center"/>
              <w:rPr>
                <w:rFonts w:ascii="Arial" w:hAnsi="Arial" w:cs="Arial"/>
              </w:rPr>
            </w:pPr>
            <w:r w:rsidRPr="00B041BF">
              <w:rPr>
                <w:rFonts w:ascii="Arial" w:hAnsi="Arial" w:cs="Arial"/>
                <w:b/>
              </w:rPr>
              <w:t>Review Procedure</w:t>
            </w:r>
          </w:p>
          <w:p w14:paraId="7A4F5965" w14:textId="77777777" w:rsidR="00B041BF" w:rsidRPr="00B041BF" w:rsidRDefault="00B041BF" w:rsidP="005F01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47" w:type="dxa"/>
            <w:gridSpan w:val="2"/>
            <w:vAlign w:val="center"/>
          </w:tcPr>
          <w:p w14:paraId="51257DD0" w14:textId="77777777" w:rsidR="00B041BF" w:rsidRDefault="00340D7D" w:rsidP="005F0180">
            <w:pPr>
              <w:rPr>
                <w:rFonts w:ascii="Arial" w:hAnsi="Arial" w:cs="Arial"/>
              </w:rPr>
            </w:pPr>
            <w:r w:rsidRPr="00B041BF">
              <w:rPr>
                <w:rFonts w:ascii="Arial" w:hAnsi="Arial" w:cs="Arial"/>
              </w:rPr>
              <w:t>SOPs should be reviewed regularly, at least every two years, or sooner due to a legislative change or if an incident occurs</w:t>
            </w:r>
            <w:r>
              <w:rPr>
                <w:rFonts w:ascii="Arial" w:hAnsi="Arial" w:cs="Arial"/>
              </w:rPr>
              <w:t xml:space="preserve"> which may potentially have led to a compromise of patient safety</w:t>
            </w:r>
            <w:r w:rsidRPr="00B041B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B041BF" w:rsidRPr="00B041BF">
              <w:rPr>
                <w:rFonts w:ascii="Arial" w:hAnsi="Arial" w:cs="Arial"/>
              </w:rPr>
              <w:t xml:space="preserve">Each SOP must specify </w:t>
            </w:r>
            <w:r w:rsidR="00B041BF">
              <w:rPr>
                <w:rFonts w:ascii="Arial" w:hAnsi="Arial" w:cs="Arial"/>
              </w:rPr>
              <w:t>the res</w:t>
            </w:r>
            <w:r w:rsidR="005F0180">
              <w:rPr>
                <w:rFonts w:ascii="Arial" w:hAnsi="Arial" w:cs="Arial"/>
              </w:rPr>
              <w:t>ponsible pharmacist who created or</w:t>
            </w:r>
            <w:r w:rsidR="00B041BF">
              <w:rPr>
                <w:rFonts w:ascii="Arial" w:hAnsi="Arial" w:cs="Arial"/>
              </w:rPr>
              <w:t xml:space="preserve"> amended the procedure, the date o</w:t>
            </w:r>
            <w:r w:rsidR="00F83242">
              <w:rPr>
                <w:rFonts w:ascii="Arial" w:hAnsi="Arial" w:cs="Arial"/>
              </w:rPr>
              <w:t>f</w:t>
            </w:r>
            <w:r w:rsidR="00B041BF">
              <w:rPr>
                <w:rFonts w:ascii="Arial" w:hAnsi="Arial" w:cs="Arial"/>
              </w:rPr>
              <w:t xml:space="preserve"> preparation </w:t>
            </w:r>
            <w:r w:rsidR="00B041BF" w:rsidRPr="00B041BF">
              <w:rPr>
                <w:rFonts w:ascii="Arial" w:hAnsi="Arial" w:cs="Arial"/>
              </w:rPr>
              <w:t>and the date it is due for review</w:t>
            </w:r>
            <w:r w:rsidR="00B041BF">
              <w:rPr>
                <w:rFonts w:ascii="Arial" w:hAnsi="Arial" w:cs="Arial"/>
              </w:rPr>
              <w:t>.</w:t>
            </w:r>
            <w:r w:rsidR="002E0197">
              <w:rPr>
                <w:rFonts w:ascii="Arial" w:hAnsi="Arial" w:cs="Arial"/>
              </w:rPr>
              <w:t xml:space="preserve"> </w:t>
            </w:r>
            <w:r w:rsidRPr="00340D7D">
              <w:rPr>
                <w:rFonts w:ascii="Arial" w:hAnsi="Arial" w:cs="Arial"/>
              </w:rPr>
              <w:t>Separate versions of the old and new SOPs should be referenced and retained.</w:t>
            </w:r>
            <w:r>
              <w:rPr>
                <w:rFonts w:ascii="Arial" w:hAnsi="Arial" w:cs="Arial"/>
              </w:rPr>
              <w:t xml:space="preserve"> </w:t>
            </w:r>
            <w:r w:rsidR="00B041BF" w:rsidRPr="00B041BF">
              <w:rPr>
                <w:rFonts w:ascii="Arial" w:hAnsi="Arial" w:cs="Arial"/>
              </w:rPr>
              <w:t>Any changes in SOPs should be brought to the attention of relevant staff.</w:t>
            </w:r>
          </w:p>
          <w:p w14:paraId="265873CC" w14:textId="77777777" w:rsidR="00037B19" w:rsidRPr="00037B19" w:rsidRDefault="00037B19" w:rsidP="005F0180">
            <w:pPr>
              <w:rPr>
                <w:rFonts w:ascii="Arial" w:hAnsi="Arial" w:cs="Arial"/>
                <w:sz w:val="6"/>
              </w:rPr>
            </w:pPr>
          </w:p>
        </w:tc>
      </w:tr>
      <w:tr w:rsidR="00B041BF" w:rsidRPr="00B041BF" w14:paraId="5C129FB3" w14:textId="77777777" w:rsidTr="005F0180">
        <w:tc>
          <w:tcPr>
            <w:tcW w:w="1720" w:type="dxa"/>
            <w:vMerge/>
            <w:vAlign w:val="center"/>
          </w:tcPr>
          <w:p w14:paraId="206C0EE0" w14:textId="77777777" w:rsidR="00B041BF" w:rsidRPr="00B041BF" w:rsidRDefault="00B041BF" w:rsidP="005F0180">
            <w:pPr>
              <w:rPr>
                <w:rFonts w:ascii="Arial" w:hAnsi="Arial" w:cs="Arial"/>
              </w:rPr>
            </w:pPr>
          </w:p>
        </w:tc>
        <w:tc>
          <w:tcPr>
            <w:tcW w:w="2293" w:type="dxa"/>
            <w:vAlign w:val="center"/>
          </w:tcPr>
          <w:p w14:paraId="6C836A35" w14:textId="77777777" w:rsidR="00B041BF" w:rsidRPr="00B041BF" w:rsidRDefault="00B041BF" w:rsidP="005F0180">
            <w:pPr>
              <w:rPr>
                <w:rFonts w:ascii="Arial" w:hAnsi="Arial" w:cs="Arial"/>
              </w:rPr>
            </w:pPr>
            <w:r w:rsidRPr="00B041BF">
              <w:rPr>
                <w:rFonts w:ascii="Arial" w:hAnsi="Arial" w:cs="Arial"/>
              </w:rPr>
              <w:t>Date of Preparation:</w:t>
            </w:r>
          </w:p>
        </w:tc>
        <w:tc>
          <w:tcPr>
            <w:tcW w:w="5054" w:type="dxa"/>
            <w:vAlign w:val="center"/>
          </w:tcPr>
          <w:p w14:paraId="088E745C" w14:textId="77777777" w:rsidR="00B041BF" w:rsidRPr="00B041BF" w:rsidRDefault="00B041BF" w:rsidP="005F0180">
            <w:pPr>
              <w:rPr>
                <w:rFonts w:ascii="Arial" w:hAnsi="Arial" w:cs="Arial"/>
              </w:rPr>
            </w:pPr>
          </w:p>
        </w:tc>
      </w:tr>
      <w:tr w:rsidR="00B041BF" w:rsidRPr="00B041BF" w14:paraId="7FF8BE90" w14:textId="77777777" w:rsidTr="005F0180">
        <w:tc>
          <w:tcPr>
            <w:tcW w:w="1720" w:type="dxa"/>
            <w:vMerge/>
            <w:vAlign w:val="center"/>
          </w:tcPr>
          <w:p w14:paraId="51856B4C" w14:textId="77777777" w:rsidR="00B041BF" w:rsidRPr="00B041BF" w:rsidRDefault="00B041BF" w:rsidP="005F0180">
            <w:pPr>
              <w:rPr>
                <w:rFonts w:ascii="Arial" w:hAnsi="Arial" w:cs="Arial"/>
              </w:rPr>
            </w:pPr>
          </w:p>
        </w:tc>
        <w:tc>
          <w:tcPr>
            <w:tcW w:w="2293" w:type="dxa"/>
            <w:vAlign w:val="center"/>
          </w:tcPr>
          <w:p w14:paraId="06721137" w14:textId="77777777" w:rsidR="00B041BF" w:rsidRPr="00B041BF" w:rsidRDefault="00B041BF" w:rsidP="005F0180">
            <w:pPr>
              <w:rPr>
                <w:rFonts w:ascii="Arial" w:hAnsi="Arial" w:cs="Arial"/>
              </w:rPr>
            </w:pPr>
            <w:r w:rsidRPr="00B041BF">
              <w:rPr>
                <w:rFonts w:ascii="Arial" w:hAnsi="Arial" w:cs="Arial"/>
              </w:rPr>
              <w:t>Prepared by:</w:t>
            </w:r>
          </w:p>
        </w:tc>
        <w:tc>
          <w:tcPr>
            <w:tcW w:w="5054" w:type="dxa"/>
            <w:vAlign w:val="center"/>
          </w:tcPr>
          <w:p w14:paraId="610B0CD9" w14:textId="77777777" w:rsidR="00B041BF" w:rsidRPr="00B041BF" w:rsidRDefault="00B041BF" w:rsidP="005F0180">
            <w:pPr>
              <w:rPr>
                <w:rFonts w:ascii="Arial" w:hAnsi="Arial" w:cs="Arial"/>
              </w:rPr>
            </w:pPr>
          </w:p>
        </w:tc>
      </w:tr>
      <w:tr w:rsidR="00B041BF" w:rsidRPr="00B041BF" w14:paraId="2E387C3D" w14:textId="77777777" w:rsidTr="005F0180">
        <w:tc>
          <w:tcPr>
            <w:tcW w:w="1720" w:type="dxa"/>
            <w:vMerge/>
            <w:vAlign w:val="center"/>
          </w:tcPr>
          <w:p w14:paraId="04B3A36F" w14:textId="77777777" w:rsidR="00B041BF" w:rsidRPr="00B041BF" w:rsidRDefault="00B041BF" w:rsidP="005F0180">
            <w:pPr>
              <w:rPr>
                <w:rFonts w:ascii="Arial" w:hAnsi="Arial" w:cs="Arial"/>
              </w:rPr>
            </w:pPr>
          </w:p>
        </w:tc>
        <w:tc>
          <w:tcPr>
            <w:tcW w:w="2293" w:type="dxa"/>
            <w:vAlign w:val="center"/>
          </w:tcPr>
          <w:p w14:paraId="7A919C62" w14:textId="77777777" w:rsidR="00B041BF" w:rsidRPr="00B041BF" w:rsidRDefault="00B041BF" w:rsidP="005F0180">
            <w:pPr>
              <w:rPr>
                <w:rFonts w:ascii="Arial" w:hAnsi="Arial" w:cs="Arial"/>
              </w:rPr>
            </w:pPr>
            <w:r w:rsidRPr="00B041BF">
              <w:rPr>
                <w:rFonts w:ascii="Arial" w:hAnsi="Arial" w:cs="Arial"/>
              </w:rPr>
              <w:t>Date effective from:</w:t>
            </w:r>
          </w:p>
        </w:tc>
        <w:tc>
          <w:tcPr>
            <w:tcW w:w="5054" w:type="dxa"/>
            <w:vAlign w:val="center"/>
          </w:tcPr>
          <w:p w14:paraId="3F294B3F" w14:textId="77777777" w:rsidR="00B041BF" w:rsidRPr="00B041BF" w:rsidRDefault="00B041BF" w:rsidP="005F0180">
            <w:pPr>
              <w:rPr>
                <w:rFonts w:ascii="Arial" w:hAnsi="Arial" w:cs="Arial"/>
              </w:rPr>
            </w:pPr>
          </w:p>
        </w:tc>
      </w:tr>
      <w:tr w:rsidR="00B041BF" w:rsidRPr="00B041BF" w14:paraId="770F2721" w14:textId="77777777" w:rsidTr="005F0180">
        <w:tc>
          <w:tcPr>
            <w:tcW w:w="1720" w:type="dxa"/>
            <w:vMerge/>
            <w:vAlign w:val="center"/>
          </w:tcPr>
          <w:p w14:paraId="48030D85" w14:textId="77777777" w:rsidR="00B041BF" w:rsidRPr="00B041BF" w:rsidRDefault="00B041BF" w:rsidP="005F0180">
            <w:pPr>
              <w:rPr>
                <w:rFonts w:ascii="Arial" w:hAnsi="Arial" w:cs="Arial"/>
              </w:rPr>
            </w:pPr>
          </w:p>
        </w:tc>
        <w:tc>
          <w:tcPr>
            <w:tcW w:w="2293" w:type="dxa"/>
            <w:vAlign w:val="center"/>
          </w:tcPr>
          <w:p w14:paraId="382A8D98" w14:textId="77777777" w:rsidR="00B041BF" w:rsidRPr="00B041BF" w:rsidRDefault="00B041BF" w:rsidP="005F0180">
            <w:pPr>
              <w:rPr>
                <w:rFonts w:ascii="Arial" w:hAnsi="Arial" w:cs="Arial"/>
              </w:rPr>
            </w:pPr>
            <w:r w:rsidRPr="00B041BF">
              <w:rPr>
                <w:rFonts w:ascii="Arial" w:hAnsi="Arial" w:cs="Arial"/>
              </w:rPr>
              <w:t>Version:</w:t>
            </w:r>
          </w:p>
        </w:tc>
        <w:tc>
          <w:tcPr>
            <w:tcW w:w="5054" w:type="dxa"/>
            <w:vAlign w:val="center"/>
          </w:tcPr>
          <w:p w14:paraId="5386D7BC" w14:textId="77777777" w:rsidR="00B041BF" w:rsidRPr="00B041BF" w:rsidRDefault="00B041BF" w:rsidP="005F0180">
            <w:pPr>
              <w:rPr>
                <w:rFonts w:ascii="Arial" w:hAnsi="Arial" w:cs="Arial"/>
              </w:rPr>
            </w:pPr>
          </w:p>
        </w:tc>
      </w:tr>
      <w:tr w:rsidR="00B041BF" w:rsidRPr="00B041BF" w14:paraId="56B39292" w14:textId="77777777" w:rsidTr="005F0180">
        <w:tc>
          <w:tcPr>
            <w:tcW w:w="1720" w:type="dxa"/>
            <w:vMerge/>
            <w:vAlign w:val="center"/>
          </w:tcPr>
          <w:p w14:paraId="1B5D030B" w14:textId="77777777" w:rsidR="00B041BF" w:rsidRPr="00B041BF" w:rsidRDefault="00B041BF" w:rsidP="005F0180">
            <w:pPr>
              <w:rPr>
                <w:rFonts w:ascii="Arial" w:hAnsi="Arial" w:cs="Arial"/>
              </w:rPr>
            </w:pPr>
          </w:p>
        </w:tc>
        <w:tc>
          <w:tcPr>
            <w:tcW w:w="2293" w:type="dxa"/>
            <w:vAlign w:val="center"/>
          </w:tcPr>
          <w:p w14:paraId="5A4A7FC2" w14:textId="77777777" w:rsidR="00B041BF" w:rsidRPr="00B041BF" w:rsidRDefault="00B041BF" w:rsidP="005F0180">
            <w:pPr>
              <w:rPr>
                <w:rFonts w:ascii="Arial" w:hAnsi="Arial" w:cs="Arial"/>
              </w:rPr>
            </w:pPr>
            <w:r w:rsidRPr="00B041BF">
              <w:rPr>
                <w:rFonts w:ascii="Arial" w:hAnsi="Arial" w:cs="Arial"/>
              </w:rPr>
              <w:t>Date of review:</w:t>
            </w:r>
          </w:p>
        </w:tc>
        <w:tc>
          <w:tcPr>
            <w:tcW w:w="5054" w:type="dxa"/>
            <w:vAlign w:val="center"/>
          </w:tcPr>
          <w:p w14:paraId="7714093E" w14:textId="77777777" w:rsidR="00B041BF" w:rsidRPr="00B041BF" w:rsidRDefault="00B041BF" w:rsidP="005F0180">
            <w:pPr>
              <w:rPr>
                <w:rFonts w:ascii="Arial" w:hAnsi="Arial" w:cs="Arial"/>
              </w:rPr>
            </w:pPr>
          </w:p>
        </w:tc>
      </w:tr>
    </w:tbl>
    <w:p w14:paraId="420ADF67" w14:textId="77777777" w:rsidR="0050148F" w:rsidRDefault="0050148F" w:rsidP="005F0180">
      <w:pPr>
        <w:spacing w:after="0" w:line="240" w:lineRule="auto"/>
        <w:jc w:val="both"/>
        <w:rPr>
          <w:rFonts w:ascii="Arial" w:hAnsi="Arial" w:cs="Arial"/>
        </w:rPr>
      </w:pPr>
    </w:p>
    <w:p w14:paraId="36294FA1" w14:textId="092027DA" w:rsidR="005F0180" w:rsidRDefault="00B8294F" w:rsidP="005F0180">
      <w:pPr>
        <w:spacing w:after="0" w:line="240" w:lineRule="auto"/>
        <w:jc w:val="both"/>
        <w:rPr>
          <w:rFonts w:ascii="Arial" w:hAnsi="Arial" w:cs="Arial"/>
        </w:rPr>
      </w:pPr>
      <w:hyperlink r:id="rId8" w:history="1">
        <w:r w:rsidR="005F0180" w:rsidRPr="00B8294F">
          <w:rPr>
            <w:rStyle w:val="Hyperlink"/>
            <w:rFonts w:ascii="Arial" w:hAnsi="Arial" w:cs="Arial"/>
          </w:rPr>
          <w:t xml:space="preserve">PSNI Standards and Guidance </w:t>
        </w:r>
        <w:r w:rsidR="005F0180" w:rsidRPr="00B8294F">
          <w:rPr>
            <w:rStyle w:val="Hyperlink"/>
            <w:rFonts w:ascii="Arial" w:hAnsi="Arial" w:cs="Arial"/>
          </w:rPr>
          <w:t>o</w:t>
        </w:r>
        <w:r w:rsidR="005F0180" w:rsidRPr="00B8294F">
          <w:rPr>
            <w:rStyle w:val="Hyperlink"/>
            <w:rFonts w:ascii="Arial" w:hAnsi="Arial" w:cs="Arial"/>
          </w:rPr>
          <w:t>n the Responsible Pharmacist Regulations</w:t>
        </w:r>
      </w:hyperlink>
    </w:p>
    <w:p w14:paraId="69E0ABD4" w14:textId="31A58ED8" w:rsidR="000459BF" w:rsidRPr="00B041BF" w:rsidRDefault="000459BF" w:rsidP="005F0180">
      <w:pPr>
        <w:spacing w:after="0" w:line="240" w:lineRule="auto"/>
        <w:jc w:val="both"/>
        <w:rPr>
          <w:rFonts w:ascii="Arial" w:hAnsi="Arial" w:cs="Arial"/>
        </w:rPr>
      </w:pPr>
    </w:p>
    <w:sectPr w:rsidR="000459BF" w:rsidRPr="00B041BF" w:rsidSect="00A034C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74B88" w14:textId="77777777" w:rsidR="00D32020" w:rsidRDefault="00D32020" w:rsidP="00D32020">
      <w:pPr>
        <w:spacing w:after="0" w:line="240" w:lineRule="auto"/>
      </w:pPr>
      <w:r>
        <w:separator/>
      </w:r>
    </w:p>
  </w:endnote>
  <w:endnote w:type="continuationSeparator" w:id="0">
    <w:p w14:paraId="2642A635" w14:textId="77777777" w:rsidR="00D32020" w:rsidRDefault="00D32020" w:rsidP="00D32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50EA" w14:textId="77777777" w:rsidR="00D32020" w:rsidRDefault="00EA496F" w:rsidP="00A034C6">
    <w:pPr>
      <w:pStyle w:val="Footer"/>
      <w:jc w:val="right"/>
    </w:pPr>
    <w:r>
      <w:t xml:space="preserve"> </w:t>
    </w:r>
    <w:r>
      <w:rPr>
        <w:noProof/>
        <w:lang w:eastAsia="en-GB"/>
      </w:rPr>
      <w:drawing>
        <wp:inline distT="0" distB="0" distL="0" distR="0" wp14:anchorId="3C06C322" wp14:editId="6A78B927">
          <wp:extent cx="1503680" cy="642952"/>
          <wp:effectExtent l="0" t="0" r="127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our Community Pharmacy Logo CP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460" cy="650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  <w:r w:rsidR="00A034C6" w:rsidRPr="008E6872">
      <w:rPr>
        <w:noProof/>
        <w:lang w:eastAsia="en-GB"/>
      </w:rPr>
      <w:drawing>
        <wp:inline distT="0" distB="0" distL="0" distR="0" wp14:anchorId="34640A26" wp14:editId="7CE62CBE">
          <wp:extent cx="1964055" cy="652059"/>
          <wp:effectExtent l="0" t="0" r="0" b="0"/>
          <wp:docPr id="1" name="Picture 1" descr="I:\CPNI\CPNI 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CPNI\CPNI logo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378" cy="660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CC3C6" w14:textId="77777777" w:rsidR="00D32020" w:rsidRDefault="00D32020" w:rsidP="00D32020">
      <w:pPr>
        <w:spacing w:after="0" w:line="240" w:lineRule="auto"/>
      </w:pPr>
      <w:r>
        <w:separator/>
      </w:r>
    </w:p>
  </w:footnote>
  <w:footnote w:type="continuationSeparator" w:id="0">
    <w:p w14:paraId="793FFA42" w14:textId="77777777" w:rsidR="00D32020" w:rsidRDefault="00D32020" w:rsidP="00D32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47D36" w14:textId="77777777" w:rsidR="00FF4B1F" w:rsidRDefault="00FF4B1F" w:rsidP="00FF4B1F">
    <w:pPr>
      <w:pStyle w:val="Heading1"/>
      <w:jc w:val="center"/>
      <w:rPr>
        <w:b/>
        <w:sz w:val="36"/>
      </w:rPr>
    </w:pPr>
    <w:r w:rsidRPr="00B04493">
      <w:rPr>
        <w:b/>
        <w:sz w:val="36"/>
      </w:rPr>
      <w:t>SOP Template</w:t>
    </w:r>
  </w:p>
  <w:p w14:paraId="2D8440FB" w14:textId="77777777" w:rsidR="005F0180" w:rsidRPr="005F0180" w:rsidRDefault="005F0180" w:rsidP="005F0180">
    <w:pPr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8D8"/>
    <w:multiLevelType w:val="hybridMultilevel"/>
    <w:tmpl w:val="02E08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23E14"/>
    <w:multiLevelType w:val="hybridMultilevel"/>
    <w:tmpl w:val="51A460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D20F87"/>
    <w:multiLevelType w:val="hybridMultilevel"/>
    <w:tmpl w:val="3B7C93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3713"/>
    <w:multiLevelType w:val="hybridMultilevel"/>
    <w:tmpl w:val="3ED4A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950E3"/>
    <w:multiLevelType w:val="hybridMultilevel"/>
    <w:tmpl w:val="9BB60CA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F942B3F"/>
    <w:multiLevelType w:val="hybridMultilevel"/>
    <w:tmpl w:val="DE3892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07516"/>
    <w:multiLevelType w:val="multilevel"/>
    <w:tmpl w:val="2B70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063436"/>
    <w:multiLevelType w:val="hybridMultilevel"/>
    <w:tmpl w:val="CA9A19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B1"/>
    <w:rsid w:val="00037B19"/>
    <w:rsid w:val="000459BF"/>
    <w:rsid w:val="0007028D"/>
    <w:rsid w:val="00097AE5"/>
    <w:rsid w:val="000C08F7"/>
    <w:rsid w:val="00101C41"/>
    <w:rsid w:val="00111F94"/>
    <w:rsid w:val="00173012"/>
    <w:rsid w:val="00176F8C"/>
    <w:rsid w:val="001C01D7"/>
    <w:rsid w:val="001F3067"/>
    <w:rsid w:val="00210F91"/>
    <w:rsid w:val="00237209"/>
    <w:rsid w:val="00270413"/>
    <w:rsid w:val="002A51B2"/>
    <w:rsid w:val="002C194F"/>
    <w:rsid w:val="002E0197"/>
    <w:rsid w:val="002F782B"/>
    <w:rsid w:val="00303B9F"/>
    <w:rsid w:val="00311A40"/>
    <w:rsid w:val="00327996"/>
    <w:rsid w:val="00340D7D"/>
    <w:rsid w:val="003C0720"/>
    <w:rsid w:val="003C0AB9"/>
    <w:rsid w:val="003F47FD"/>
    <w:rsid w:val="00437434"/>
    <w:rsid w:val="004567B3"/>
    <w:rsid w:val="0046300C"/>
    <w:rsid w:val="00475D7B"/>
    <w:rsid w:val="004C6459"/>
    <w:rsid w:val="004D0501"/>
    <w:rsid w:val="0050148F"/>
    <w:rsid w:val="005163CD"/>
    <w:rsid w:val="00560521"/>
    <w:rsid w:val="005D4C3B"/>
    <w:rsid w:val="005F0180"/>
    <w:rsid w:val="00632AB5"/>
    <w:rsid w:val="00652FAD"/>
    <w:rsid w:val="00697329"/>
    <w:rsid w:val="006D558A"/>
    <w:rsid w:val="006D71C1"/>
    <w:rsid w:val="00727105"/>
    <w:rsid w:val="00746BA7"/>
    <w:rsid w:val="0078334E"/>
    <w:rsid w:val="00783CCE"/>
    <w:rsid w:val="00785DC3"/>
    <w:rsid w:val="007B3D16"/>
    <w:rsid w:val="007C6F67"/>
    <w:rsid w:val="007F1C02"/>
    <w:rsid w:val="00802E25"/>
    <w:rsid w:val="008339B7"/>
    <w:rsid w:val="008D0456"/>
    <w:rsid w:val="008E3E0E"/>
    <w:rsid w:val="009161E1"/>
    <w:rsid w:val="009B4F50"/>
    <w:rsid w:val="009D02C1"/>
    <w:rsid w:val="009D6372"/>
    <w:rsid w:val="00A0120E"/>
    <w:rsid w:val="00A034C6"/>
    <w:rsid w:val="00A11461"/>
    <w:rsid w:val="00A77C65"/>
    <w:rsid w:val="00AD54EC"/>
    <w:rsid w:val="00B041BF"/>
    <w:rsid w:val="00B04493"/>
    <w:rsid w:val="00B24758"/>
    <w:rsid w:val="00B4065B"/>
    <w:rsid w:val="00B43D23"/>
    <w:rsid w:val="00B52891"/>
    <w:rsid w:val="00B8294F"/>
    <w:rsid w:val="00B94426"/>
    <w:rsid w:val="00C07732"/>
    <w:rsid w:val="00C26AE3"/>
    <w:rsid w:val="00CA3AC8"/>
    <w:rsid w:val="00CE13B1"/>
    <w:rsid w:val="00CE3F99"/>
    <w:rsid w:val="00D248EF"/>
    <w:rsid w:val="00D27F9C"/>
    <w:rsid w:val="00D32020"/>
    <w:rsid w:val="00D42681"/>
    <w:rsid w:val="00DF57FD"/>
    <w:rsid w:val="00E87787"/>
    <w:rsid w:val="00E95AFE"/>
    <w:rsid w:val="00EA496F"/>
    <w:rsid w:val="00EC4C6D"/>
    <w:rsid w:val="00EF430B"/>
    <w:rsid w:val="00F064E8"/>
    <w:rsid w:val="00F24C74"/>
    <w:rsid w:val="00F30DAA"/>
    <w:rsid w:val="00F65576"/>
    <w:rsid w:val="00F83242"/>
    <w:rsid w:val="00F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20F3DE2"/>
  <w15:chartTrackingRefBased/>
  <w15:docId w15:val="{34EA10BB-A3D5-4791-AEEB-E9AEEA64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9BF"/>
  </w:style>
  <w:style w:type="paragraph" w:styleId="Heading1">
    <w:name w:val="heading 1"/>
    <w:basedOn w:val="Normal"/>
    <w:next w:val="Normal"/>
    <w:link w:val="Heading1Char"/>
    <w:uiPriority w:val="9"/>
    <w:qFormat/>
    <w:rsid w:val="00FF4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0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0A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020"/>
  </w:style>
  <w:style w:type="paragraph" w:styleId="Footer">
    <w:name w:val="footer"/>
    <w:basedOn w:val="Normal"/>
    <w:link w:val="FooterChar"/>
    <w:uiPriority w:val="99"/>
    <w:unhideWhenUsed/>
    <w:rsid w:val="00D32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020"/>
  </w:style>
  <w:style w:type="character" w:styleId="FollowedHyperlink">
    <w:name w:val="FollowedHyperlink"/>
    <w:basedOn w:val="DefaultParagraphFont"/>
    <w:uiPriority w:val="99"/>
    <w:semiHidden/>
    <w:unhideWhenUsed/>
    <w:rsid w:val="009D637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1C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F57F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4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B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82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ni.org.uk/wp-content/uploads/2012/09/Standards-on-the-responsible-pharmacist-revised1Mar201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47168-F793-418F-8E2E-FC66A0CA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 Meadow</dc:creator>
  <cp:keywords/>
  <dc:description/>
  <cp:lastModifiedBy>Kerry Grimes</cp:lastModifiedBy>
  <cp:revision>2</cp:revision>
  <cp:lastPrinted>2015-04-15T14:12:00Z</cp:lastPrinted>
  <dcterms:created xsi:type="dcterms:W3CDTF">2022-01-27T12:46:00Z</dcterms:created>
  <dcterms:modified xsi:type="dcterms:W3CDTF">2022-01-27T12:46:00Z</dcterms:modified>
</cp:coreProperties>
</file>