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1" w:type="dxa"/>
        <w:tblLayout w:type="fixed"/>
        <w:tblLook w:val="04A0" w:firstRow="1" w:lastRow="0" w:firstColumn="1" w:lastColumn="0" w:noHBand="0" w:noVBand="1"/>
      </w:tblPr>
      <w:tblGrid>
        <w:gridCol w:w="704"/>
        <w:gridCol w:w="3686"/>
        <w:gridCol w:w="3118"/>
        <w:gridCol w:w="1134"/>
        <w:gridCol w:w="709"/>
      </w:tblGrid>
      <w:tr w:rsidR="0011007B" w:rsidTr="00CA5F0B">
        <w:tc>
          <w:tcPr>
            <w:tcW w:w="9351" w:type="dxa"/>
            <w:gridSpan w:val="5"/>
            <w:shd w:val="clear" w:color="auto" w:fill="B1CBE9"/>
          </w:tcPr>
          <w:p w:rsidR="0011007B" w:rsidRPr="00086622" w:rsidRDefault="0011007B" w:rsidP="00D94B61">
            <w:pPr>
              <w:jc w:val="center"/>
              <w:rPr>
                <w:b/>
              </w:rPr>
            </w:pPr>
            <w:bookmarkStart w:id="0" w:name="_GoBack"/>
            <w:bookmarkEnd w:id="0"/>
            <w:r w:rsidRPr="00086622">
              <w:rPr>
                <w:b/>
              </w:rPr>
              <w:t xml:space="preserve">Report </w:t>
            </w:r>
            <w:r w:rsidR="00D94B61">
              <w:rPr>
                <w:b/>
              </w:rPr>
              <w:t>d</w:t>
            </w:r>
            <w:r w:rsidRPr="00086622">
              <w:rPr>
                <w:b/>
              </w:rPr>
              <w:t>etails</w:t>
            </w:r>
            <w:r w:rsidR="0061496C">
              <w:rPr>
                <w:rStyle w:val="EndnoteReference"/>
                <w:b/>
              </w:rPr>
              <w:endnoteReference w:id="1"/>
            </w:r>
          </w:p>
        </w:tc>
      </w:tr>
      <w:tr w:rsidR="00925025" w:rsidTr="00AD67E6">
        <w:trPr>
          <w:trHeight w:val="270"/>
        </w:trPr>
        <w:tc>
          <w:tcPr>
            <w:tcW w:w="4390" w:type="dxa"/>
            <w:gridSpan w:val="2"/>
          </w:tcPr>
          <w:p w:rsidR="00925025" w:rsidRDefault="00925025" w:rsidP="004E4622">
            <w:r>
              <w:t>Report Date:</w:t>
            </w:r>
          </w:p>
          <w:p w:rsidR="00925025" w:rsidRDefault="00925025" w:rsidP="004E4622"/>
        </w:tc>
        <w:tc>
          <w:tcPr>
            <w:tcW w:w="4961" w:type="dxa"/>
            <w:gridSpan w:val="3"/>
          </w:tcPr>
          <w:p w:rsidR="00925025" w:rsidRDefault="00925025" w:rsidP="007F6C68">
            <w:r>
              <w:t>Date complaint received:</w:t>
            </w:r>
            <w:r w:rsidR="006A4419">
              <w:t xml:space="preserve"> </w:t>
            </w:r>
            <w:r w:rsidR="006A4419">
              <w:rPr>
                <w:rStyle w:val="EndnoteReference"/>
              </w:rPr>
              <w:endnoteReference w:id="2"/>
            </w:r>
          </w:p>
          <w:p w:rsidR="00925025" w:rsidRDefault="00925025" w:rsidP="004E4622"/>
        </w:tc>
      </w:tr>
      <w:tr w:rsidR="00925025" w:rsidTr="00AD67E6">
        <w:trPr>
          <w:trHeight w:val="270"/>
        </w:trPr>
        <w:tc>
          <w:tcPr>
            <w:tcW w:w="4390" w:type="dxa"/>
            <w:gridSpan w:val="2"/>
          </w:tcPr>
          <w:p w:rsidR="00925025" w:rsidRDefault="00925025" w:rsidP="004E4622">
            <w:r>
              <w:t>Complaints manager handling complaint</w:t>
            </w:r>
            <w:r w:rsidR="00AD67E6">
              <w:rPr>
                <w:rStyle w:val="EndnoteReference"/>
              </w:rPr>
              <w:endnoteReference w:id="3"/>
            </w:r>
            <w:r>
              <w:t>:</w:t>
            </w:r>
          </w:p>
          <w:p w:rsidR="00925025" w:rsidRDefault="00925025" w:rsidP="004E4622"/>
          <w:p w:rsidR="00D94B61" w:rsidRDefault="00D94B61" w:rsidP="004E4622"/>
        </w:tc>
        <w:tc>
          <w:tcPr>
            <w:tcW w:w="4961" w:type="dxa"/>
            <w:gridSpan w:val="3"/>
          </w:tcPr>
          <w:p w:rsidR="00925025" w:rsidRDefault="00925025" w:rsidP="007F6C68">
            <w:r>
              <w:t>Member of staff receiving complaint:</w:t>
            </w:r>
            <w:r w:rsidR="0061496C">
              <w:rPr>
                <w:rStyle w:val="EndnoteReference"/>
              </w:rPr>
              <w:endnoteReference w:id="4"/>
            </w:r>
          </w:p>
        </w:tc>
      </w:tr>
      <w:tr w:rsidR="007F6C68" w:rsidTr="00AD67E6">
        <w:tc>
          <w:tcPr>
            <w:tcW w:w="4390" w:type="dxa"/>
            <w:gridSpan w:val="2"/>
            <w:shd w:val="clear" w:color="auto" w:fill="B1CBE9"/>
          </w:tcPr>
          <w:p w:rsidR="007F6C68" w:rsidRPr="00086622" w:rsidRDefault="007F6C68" w:rsidP="007F6C68">
            <w:pPr>
              <w:rPr>
                <w:b/>
              </w:rPr>
            </w:pPr>
            <w:r>
              <w:rPr>
                <w:b/>
              </w:rPr>
              <w:t>Patient details</w:t>
            </w:r>
          </w:p>
        </w:tc>
        <w:tc>
          <w:tcPr>
            <w:tcW w:w="4961" w:type="dxa"/>
            <w:gridSpan w:val="3"/>
            <w:shd w:val="clear" w:color="auto" w:fill="B1CBE9"/>
          </w:tcPr>
          <w:p w:rsidR="007F6C68" w:rsidRPr="00086622" w:rsidRDefault="007F6C68" w:rsidP="007F6C68">
            <w:pPr>
              <w:rPr>
                <w:b/>
              </w:rPr>
            </w:pPr>
            <w:r>
              <w:rPr>
                <w:b/>
              </w:rPr>
              <w:t xml:space="preserve">Complainant details (if not patient) </w:t>
            </w:r>
            <w:r w:rsidR="00925025">
              <w:rPr>
                <w:rStyle w:val="EndnoteReference"/>
                <w:b/>
              </w:rPr>
              <w:endnoteReference w:id="5"/>
            </w:r>
          </w:p>
        </w:tc>
      </w:tr>
      <w:tr w:rsidR="007F6C68" w:rsidTr="00AD67E6">
        <w:tc>
          <w:tcPr>
            <w:tcW w:w="4390" w:type="dxa"/>
            <w:gridSpan w:val="2"/>
            <w:shd w:val="clear" w:color="auto" w:fill="auto"/>
          </w:tcPr>
          <w:p w:rsidR="007F6C68" w:rsidRDefault="007F6C68" w:rsidP="007F6C68">
            <w:r>
              <w:t>Name</w:t>
            </w:r>
            <w:r w:rsidR="00925025">
              <w:t>:</w:t>
            </w:r>
          </w:p>
          <w:p w:rsidR="00D94B61" w:rsidRDefault="00D94B61" w:rsidP="007F6C68"/>
        </w:tc>
        <w:tc>
          <w:tcPr>
            <w:tcW w:w="4961" w:type="dxa"/>
            <w:gridSpan w:val="3"/>
            <w:shd w:val="clear" w:color="auto" w:fill="auto"/>
          </w:tcPr>
          <w:p w:rsidR="007F6C68" w:rsidRDefault="007F6C68" w:rsidP="007F6C68">
            <w:r>
              <w:t>Name</w:t>
            </w:r>
            <w:r w:rsidR="00925025">
              <w:t>:</w:t>
            </w:r>
          </w:p>
        </w:tc>
      </w:tr>
      <w:tr w:rsidR="007F6C68" w:rsidTr="00AD67E6">
        <w:tc>
          <w:tcPr>
            <w:tcW w:w="4390" w:type="dxa"/>
            <w:gridSpan w:val="2"/>
            <w:shd w:val="clear" w:color="auto" w:fill="auto"/>
          </w:tcPr>
          <w:p w:rsidR="007F6C68" w:rsidRDefault="007F6C68" w:rsidP="007F6C68">
            <w:r>
              <w:t>Address</w:t>
            </w:r>
            <w:r w:rsidR="00925025">
              <w:t>:</w:t>
            </w:r>
          </w:p>
          <w:p w:rsidR="007F6C68" w:rsidRDefault="007F6C68" w:rsidP="007F6C68"/>
          <w:p w:rsidR="00D94B61" w:rsidRDefault="00D94B61" w:rsidP="007F6C68"/>
        </w:tc>
        <w:tc>
          <w:tcPr>
            <w:tcW w:w="4961" w:type="dxa"/>
            <w:gridSpan w:val="3"/>
            <w:shd w:val="clear" w:color="auto" w:fill="auto"/>
          </w:tcPr>
          <w:p w:rsidR="007F6C68" w:rsidRDefault="007F6C68" w:rsidP="007F6C68">
            <w:r>
              <w:t>Address</w:t>
            </w:r>
            <w:r w:rsidR="00925025">
              <w:t>:</w:t>
            </w:r>
          </w:p>
        </w:tc>
      </w:tr>
      <w:tr w:rsidR="00925025" w:rsidTr="00AD67E6">
        <w:tc>
          <w:tcPr>
            <w:tcW w:w="4390" w:type="dxa"/>
            <w:gridSpan w:val="2"/>
            <w:shd w:val="clear" w:color="auto" w:fill="auto"/>
          </w:tcPr>
          <w:p w:rsidR="00925025" w:rsidRDefault="00925025" w:rsidP="007F6C68">
            <w:r>
              <w:t>Contact Tel:</w:t>
            </w:r>
          </w:p>
        </w:tc>
        <w:tc>
          <w:tcPr>
            <w:tcW w:w="4961" w:type="dxa"/>
            <w:gridSpan w:val="3"/>
            <w:shd w:val="clear" w:color="auto" w:fill="auto"/>
          </w:tcPr>
          <w:p w:rsidR="00925025" w:rsidRDefault="00925025" w:rsidP="007F6C68">
            <w:r>
              <w:t>Relationship to patient:</w:t>
            </w:r>
          </w:p>
        </w:tc>
      </w:tr>
      <w:tr w:rsidR="007F6C68" w:rsidTr="00CA5F0B">
        <w:tc>
          <w:tcPr>
            <w:tcW w:w="9351" w:type="dxa"/>
            <w:gridSpan w:val="5"/>
            <w:shd w:val="clear" w:color="auto" w:fill="B1CBE9"/>
          </w:tcPr>
          <w:p w:rsidR="006A4419" w:rsidRPr="006A4419" w:rsidRDefault="00925025" w:rsidP="00D94B61">
            <w:pPr>
              <w:jc w:val="center"/>
            </w:pPr>
            <w:r>
              <w:rPr>
                <w:b/>
              </w:rPr>
              <w:t>Complaint details</w:t>
            </w:r>
          </w:p>
        </w:tc>
      </w:tr>
      <w:tr w:rsidR="007F6C68" w:rsidTr="00CA5F0B">
        <w:tc>
          <w:tcPr>
            <w:tcW w:w="9351" w:type="dxa"/>
            <w:gridSpan w:val="5"/>
          </w:tcPr>
          <w:p w:rsidR="008E6EDD" w:rsidRDefault="008E6EDD" w:rsidP="008E6EDD">
            <w:r>
              <w:t>If the complaint is written</w:t>
            </w:r>
            <w:r w:rsidR="00AE3CCD">
              <w:t>/electronic</w:t>
            </w:r>
            <w:r>
              <w:t xml:space="preserve"> keep a copy with this record. If the complaint is made orally, make a written record of it here:</w:t>
            </w:r>
          </w:p>
          <w:p w:rsidR="007F6C68" w:rsidRDefault="007F6C68" w:rsidP="007F6C68"/>
          <w:p w:rsidR="007F6C68" w:rsidRDefault="007F6C68" w:rsidP="007F6C68"/>
          <w:p w:rsidR="00D94B61" w:rsidRDefault="00D94B61" w:rsidP="007F6C68"/>
          <w:p w:rsidR="007F6C68" w:rsidRDefault="007F6C68" w:rsidP="007F6C68"/>
          <w:p w:rsidR="007F6C68" w:rsidRDefault="007F6C68" w:rsidP="007F6C68"/>
          <w:p w:rsidR="00C30DC4" w:rsidRDefault="00C30DC4" w:rsidP="007F6C68"/>
          <w:p w:rsidR="00C30DC4" w:rsidRDefault="00C30DC4" w:rsidP="007F6C68"/>
          <w:p w:rsidR="007F6C68" w:rsidRDefault="007F6C68" w:rsidP="007F6C68"/>
          <w:p w:rsidR="007F6C68" w:rsidRDefault="007F6C68" w:rsidP="007F6C68"/>
          <w:p w:rsidR="007F6C68" w:rsidRDefault="007F6C68" w:rsidP="007F6C68"/>
        </w:tc>
      </w:tr>
      <w:tr w:rsidR="00925025" w:rsidTr="003924D6">
        <w:tc>
          <w:tcPr>
            <w:tcW w:w="9351" w:type="dxa"/>
            <w:gridSpan w:val="5"/>
            <w:tcBorders>
              <w:top w:val="single" w:sz="4" w:space="0" w:color="auto"/>
              <w:left w:val="single" w:sz="4" w:space="0" w:color="auto"/>
              <w:bottom w:val="single" w:sz="4" w:space="0" w:color="auto"/>
            </w:tcBorders>
          </w:tcPr>
          <w:p w:rsidR="00925025" w:rsidRDefault="00925025" w:rsidP="007F6C68">
            <w:r>
              <w:t xml:space="preserve">Members of staff (including locums) possibly involved in </w:t>
            </w:r>
            <w:r w:rsidR="00A61C04">
              <w:t xml:space="preserve">the </w:t>
            </w:r>
            <w:r>
              <w:t>incident being complained about:</w:t>
            </w:r>
          </w:p>
          <w:p w:rsidR="00925025" w:rsidRDefault="00925025" w:rsidP="007F6C68"/>
          <w:p w:rsidR="00A61C04" w:rsidRDefault="00A61C04" w:rsidP="007F6C68"/>
          <w:p w:rsidR="00D94B61" w:rsidRDefault="00D94B61" w:rsidP="007F6C68"/>
          <w:p w:rsidR="00925025" w:rsidRDefault="00925025" w:rsidP="007F6C68"/>
        </w:tc>
      </w:tr>
      <w:tr w:rsidR="00A61C04" w:rsidTr="003924D6">
        <w:tc>
          <w:tcPr>
            <w:tcW w:w="9351" w:type="dxa"/>
            <w:gridSpan w:val="5"/>
            <w:tcBorders>
              <w:top w:val="single" w:sz="4" w:space="0" w:color="auto"/>
              <w:left w:val="single" w:sz="4" w:space="0" w:color="auto"/>
              <w:bottom w:val="single" w:sz="4" w:space="0" w:color="auto"/>
            </w:tcBorders>
          </w:tcPr>
          <w:p w:rsidR="00A61C04" w:rsidRDefault="00A61C04" w:rsidP="00D94B61">
            <w:r>
              <w:t>Date of acknowledgement:</w:t>
            </w:r>
            <w:r w:rsidR="008E6EDD">
              <w:t xml:space="preserve"> </w:t>
            </w:r>
            <w:r w:rsidR="008E6EDD">
              <w:rPr>
                <w:rStyle w:val="EndnoteReference"/>
              </w:rPr>
              <w:endnoteReference w:id="6"/>
            </w:r>
          </w:p>
          <w:p w:rsidR="00D94B61" w:rsidRDefault="00D94B61" w:rsidP="00D94B61"/>
        </w:tc>
      </w:tr>
      <w:tr w:rsidR="007F6C68" w:rsidTr="00CA5F0B">
        <w:tc>
          <w:tcPr>
            <w:tcW w:w="9351" w:type="dxa"/>
            <w:gridSpan w:val="5"/>
            <w:shd w:val="clear" w:color="auto" w:fill="B1CBE9"/>
          </w:tcPr>
          <w:p w:rsidR="007F6C68" w:rsidRPr="00086622" w:rsidRDefault="00654387" w:rsidP="00D94B61">
            <w:pPr>
              <w:jc w:val="center"/>
              <w:rPr>
                <w:b/>
              </w:rPr>
            </w:pPr>
            <w:r w:rsidRPr="00D94B61">
              <w:rPr>
                <w:b/>
              </w:rPr>
              <w:t>Investigation</w:t>
            </w:r>
            <w:r w:rsidR="00654581" w:rsidRPr="00D94B61">
              <w:rPr>
                <w:b/>
              </w:rPr>
              <w:t xml:space="preserve"> </w:t>
            </w:r>
            <w:r w:rsidR="00D94B61" w:rsidRPr="00D94B61">
              <w:rPr>
                <w:b/>
              </w:rPr>
              <w:t>- Action taken and outcome(s)</w:t>
            </w:r>
          </w:p>
        </w:tc>
      </w:tr>
      <w:tr w:rsidR="00654581" w:rsidTr="00654581">
        <w:tc>
          <w:tcPr>
            <w:tcW w:w="704" w:type="dxa"/>
            <w:shd w:val="clear" w:color="auto" w:fill="B1CBE9"/>
          </w:tcPr>
          <w:p w:rsidR="00654581" w:rsidRDefault="00654581" w:rsidP="007F6C68">
            <w:pPr>
              <w:rPr>
                <w:b/>
              </w:rPr>
            </w:pPr>
            <w:r>
              <w:t>Date</w:t>
            </w:r>
          </w:p>
        </w:tc>
        <w:tc>
          <w:tcPr>
            <w:tcW w:w="8647" w:type="dxa"/>
            <w:gridSpan w:val="4"/>
            <w:shd w:val="clear" w:color="auto" w:fill="B1CBE9"/>
          </w:tcPr>
          <w:p w:rsidR="00D94B61" w:rsidRDefault="00654581" w:rsidP="007F6C68">
            <w:r>
              <w:t xml:space="preserve">e.g. meetings held, persons present, statements obtained </w:t>
            </w:r>
          </w:p>
          <w:p w:rsidR="00C30DC4" w:rsidRPr="00C30DC4" w:rsidRDefault="00451C5B" w:rsidP="00451C5B">
            <w:r>
              <w:t xml:space="preserve">HSCB </w:t>
            </w:r>
            <w:r w:rsidR="00D94B61">
              <w:t>honest broker</w:t>
            </w:r>
            <w:r w:rsidR="00D94B61">
              <w:rPr>
                <w:rStyle w:val="EndnoteReference"/>
              </w:rPr>
              <w:endnoteReference w:id="7"/>
            </w:r>
            <w:r w:rsidR="00D94B61">
              <w:t>/</w:t>
            </w:r>
            <w:r>
              <w:t xml:space="preserve">PCC </w:t>
            </w:r>
            <w:r>
              <w:rPr>
                <w:rStyle w:val="EndnoteReference"/>
              </w:rPr>
              <w:endnoteReference w:id="8"/>
            </w:r>
            <w:r w:rsidR="00DC6B04">
              <w:t>/</w:t>
            </w:r>
            <w:r w:rsidR="00D94B61">
              <w:t>Ombudsman</w:t>
            </w:r>
            <w:r w:rsidR="00D94B61">
              <w:rPr>
                <w:rStyle w:val="EndnoteReference"/>
              </w:rPr>
              <w:endnoteReference w:id="9"/>
            </w:r>
            <w:r w:rsidR="00D94B61">
              <w:t xml:space="preserve"> involvement?</w:t>
            </w:r>
          </w:p>
        </w:tc>
      </w:tr>
      <w:tr w:rsidR="00654581" w:rsidTr="00654581">
        <w:trPr>
          <w:trHeight w:val="383"/>
        </w:trPr>
        <w:tc>
          <w:tcPr>
            <w:tcW w:w="704" w:type="dxa"/>
          </w:tcPr>
          <w:p w:rsidR="00654581" w:rsidRDefault="00654581" w:rsidP="007F6C68"/>
        </w:tc>
        <w:tc>
          <w:tcPr>
            <w:tcW w:w="8647" w:type="dxa"/>
            <w:gridSpan w:val="4"/>
          </w:tcPr>
          <w:p w:rsidR="00654581" w:rsidRDefault="00654581" w:rsidP="007F6C68"/>
          <w:p w:rsidR="00654581" w:rsidRDefault="00654581" w:rsidP="007F6C68"/>
          <w:p w:rsidR="00654581" w:rsidRDefault="00654581" w:rsidP="007F6C68"/>
          <w:p w:rsidR="00D94B61" w:rsidRDefault="00D94B61" w:rsidP="007F6C68"/>
          <w:p w:rsidR="00654581" w:rsidRDefault="00654581" w:rsidP="007F6C68"/>
          <w:p w:rsidR="00D94B61" w:rsidRDefault="00D94B61" w:rsidP="007F6C68"/>
          <w:p w:rsidR="00654581" w:rsidRDefault="00654581" w:rsidP="007F6C68"/>
          <w:p w:rsidR="00654581" w:rsidRDefault="00654581" w:rsidP="007F6C68"/>
        </w:tc>
      </w:tr>
      <w:tr w:rsidR="00654581" w:rsidTr="00654581">
        <w:trPr>
          <w:trHeight w:val="383"/>
        </w:trPr>
        <w:tc>
          <w:tcPr>
            <w:tcW w:w="704" w:type="dxa"/>
          </w:tcPr>
          <w:p w:rsidR="00654581" w:rsidRDefault="00654581" w:rsidP="007F6C68"/>
        </w:tc>
        <w:tc>
          <w:tcPr>
            <w:tcW w:w="8647" w:type="dxa"/>
            <w:gridSpan w:val="4"/>
          </w:tcPr>
          <w:p w:rsidR="00654581" w:rsidRDefault="00654581" w:rsidP="007F6C68"/>
          <w:p w:rsidR="00654581" w:rsidRDefault="00654581" w:rsidP="007F6C68"/>
          <w:p w:rsidR="00D94B61" w:rsidRDefault="00D94B61" w:rsidP="007F6C68"/>
          <w:p w:rsidR="00654581" w:rsidRDefault="00654581" w:rsidP="007F6C68"/>
          <w:p w:rsidR="00D94B61" w:rsidRDefault="00D94B61" w:rsidP="007F6C68"/>
          <w:p w:rsidR="00654581" w:rsidRDefault="00654581" w:rsidP="007F6C68"/>
          <w:p w:rsidR="00654581" w:rsidRDefault="00654581" w:rsidP="007F6C68"/>
        </w:tc>
      </w:tr>
      <w:tr w:rsidR="00027977" w:rsidRPr="00C30DC4" w:rsidTr="00C64883">
        <w:tc>
          <w:tcPr>
            <w:tcW w:w="704" w:type="dxa"/>
            <w:shd w:val="clear" w:color="auto" w:fill="B1CBE9"/>
          </w:tcPr>
          <w:p w:rsidR="00027977" w:rsidRDefault="00027977" w:rsidP="00C64883">
            <w:pPr>
              <w:rPr>
                <w:b/>
              </w:rPr>
            </w:pPr>
            <w:r>
              <w:lastRenderedPageBreak/>
              <w:t>Date</w:t>
            </w:r>
          </w:p>
        </w:tc>
        <w:tc>
          <w:tcPr>
            <w:tcW w:w="8647" w:type="dxa"/>
            <w:gridSpan w:val="4"/>
            <w:shd w:val="clear" w:color="auto" w:fill="B1CBE9"/>
          </w:tcPr>
          <w:p w:rsidR="00027977" w:rsidRDefault="00027977" w:rsidP="00C64883">
            <w:r>
              <w:t xml:space="preserve">e.g. meetings held, persons present, statements obtained </w:t>
            </w:r>
          </w:p>
          <w:p w:rsidR="00027977" w:rsidRPr="00C30DC4" w:rsidRDefault="00027977" w:rsidP="00027977">
            <w:r>
              <w:t>HSCB/honest broker/</w:t>
            </w:r>
            <w:r w:rsidR="00A54A20">
              <w:t>PCC/</w:t>
            </w:r>
            <w:r>
              <w:t>Ombudsman involvement?</w:t>
            </w:r>
          </w:p>
        </w:tc>
      </w:tr>
      <w:tr w:rsidR="00654581" w:rsidTr="00654581">
        <w:trPr>
          <w:trHeight w:val="383"/>
        </w:trPr>
        <w:tc>
          <w:tcPr>
            <w:tcW w:w="704" w:type="dxa"/>
          </w:tcPr>
          <w:p w:rsidR="00654581" w:rsidRDefault="00654581" w:rsidP="007F6C68"/>
        </w:tc>
        <w:tc>
          <w:tcPr>
            <w:tcW w:w="8647" w:type="dxa"/>
            <w:gridSpan w:val="4"/>
          </w:tcPr>
          <w:p w:rsidR="00654581" w:rsidRDefault="00654581" w:rsidP="007F6C68"/>
          <w:p w:rsidR="00654581" w:rsidRDefault="00654581" w:rsidP="007F6C68"/>
          <w:p w:rsidR="00654581" w:rsidRDefault="00654581" w:rsidP="007F6C68"/>
          <w:p w:rsidR="00D94B61" w:rsidRDefault="00D94B61" w:rsidP="007F6C68"/>
          <w:p w:rsidR="00654581" w:rsidRDefault="00654581" w:rsidP="007F6C68"/>
          <w:p w:rsidR="00654581" w:rsidRDefault="00654581" w:rsidP="007F6C68"/>
          <w:p w:rsidR="00654581" w:rsidRDefault="00654581" w:rsidP="007F6C68"/>
        </w:tc>
      </w:tr>
      <w:tr w:rsidR="00AE3CCD" w:rsidTr="00CA5F0B">
        <w:tc>
          <w:tcPr>
            <w:tcW w:w="9351" w:type="dxa"/>
            <w:gridSpan w:val="5"/>
            <w:shd w:val="clear" w:color="auto" w:fill="B1CBE9"/>
          </w:tcPr>
          <w:p w:rsidR="00AE3CCD" w:rsidRPr="00D45AC9" w:rsidRDefault="00AE3CCD" w:rsidP="00D94B61">
            <w:pPr>
              <w:jc w:val="center"/>
              <w:rPr>
                <w:b/>
              </w:rPr>
            </w:pPr>
            <w:r>
              <w:rPr>
                <w:b/>
              </w:rPr>
              <w:t>Summary of investigation findings</w:t>
            </w:r>
            <w:r w:rsidR="00256288">
              <w:rPr>
                <w:rStyle w:val="EndnoteReference"/>
                <w:b/>
              </w:rPr>
              <w:endnoteReference w:id="10"/>
            </w:r>
          </w:p>
        </w:tc>
      </w:tr>
      <w:tr w:rsidR="00AE3CCD" w:rsidTr="00AE3CCD">
        <w:tc>
          <w:tcPr>
            <w:tcW w:w="9351" w:type="dxa"/>
            <w:gridSpan w:val="5"/>
            <w:shd w:val="clear" w:color="auto" w:fill="auto"/>
          </w:tcPr>
          <w:p w:rsidR="00AE3CCD" w:rsidRDefault="00AE3CCD" w:rsidP="00D45AC9">
            <w:pPr>
              <w:rPr>
                <w:b/>
              </w:rPr>
            </w:pPr>
          </w:p>
          <w:p w:rsidR="00AE3CCD" w:rsidRDefault="00AE3CCD" w:rsidP="00D45AC9">
            <w:pPr>
              <w:rPr>
                <w:b/>
              </w:rPr>
            </w:pPr>
          </w:p>
          <w:p w:rsidR="00C30DC4" w:rsidRDefault="00C30DC4" w:rsidP="00D45AC9">
            <w:pPr>
              <w:rPr>
                <w:b/>
              </w:rPr>
            </w:pPr>
          </w:p>
          <w:p w:rsidR="00027977" w:rsidRDefault="00027977" w:rsidP="00D45AC9">
            <w:pPr>
              <w:rPr>
                <w:b/>
              </w:rPr>
            </w:pPr>
          </w:p>
          <w:p w:rsidR="00027977" w:rsidRDefault="00027977" w:rsidP="00D45AC9">
            <w:pPr>
              <w:rPr>
                <w:b/>
              </w:rPr>
            </w:pPr>
          </w:p>
          <w:p w:rsidR="00AE3CCD" w:rsidRPr="00D45AC9" w:rsidRDefault="00AE3CCD" w:rsidP="00D45AC9">
            <w:pPr>
              <w:rPr>
                <w:b/>
              </w:rPr>
            </w:pPr>
          </w:p>
        </w:tc>
      </w:tr>
      <w:tr w:rsidR="007F6C68" w:rsidTr="00CA5F0B">
        <w:tc>
          <w:tcPr>
            <w:tcW w:w="9351" w:type="dxa"/>
            <w:gridSpan w:val="5"/>
            <w:shd w:val="clear" w:color="auto" w:fill="B1CBE9"/>
          </w:tcPr>
          <w:p w:rsidR="007F6C68" w:rsidRPr="00086622" w:rsidRDefault="00D45AC9" w:rsidP="00966DED">
            <w:pPr>
              <w:jc w:val="center"/>
              <w:rPr>
                <w:b/>
              </w:rPr>
            </w:pPr>
            <w:r w:rsidRPr="00D45AC9">
              <w:rPr>
                <w:b/>
              </w:rPr>
              <w:t>Recommendations</w:t>
            </w:r>
          </w:p>
        </w:tc>
      </w:tr>
      <w:tr w:rsidR="00D45AC9" w:rsidTr="00D00ACA">
        <w:trPr>
          <w:trHeight w:val="1343"/>
        </w:trPr>
        <w:tc>
          <w:tcPr>
            <w:tcW w:w="9351" w:type="dxa"/>
            <w:gridSpan w:val="5"/>
            <w:shd w:val="clear" w:color="auto" w:fill="auto"/>
          </w:tcPr>
          <w:p w:rsidR="00AE3CCD" w:rsidRDefault="00AE3CCD" w:rsidP="00AE3CCD">
            <w:r>
              <w:t xml:space="preserve">Was guidance sought from indemnity insurers? </w:t>
            </w:r>
          </w:p>
          <w:p w:rsidR="00D45AC9" w:rsidRDefault="00AE3CCD" w:rsidP="00AE3CCD">
            <w:r>
              <w:t>SOP(s) reviewed?</w:t>
            </w:r>
          </w:p>
          <w:p w:rsidR="00D45AC9" w:rsidRDefault="00D45AC9" w:rsidP="007F6C68"/>
          <w:p w:rsidR="00D45AC9" w:rsidRDefault="00D45AC9" w:rsidP="007F6C68"/>
          <w:p w:rsidR="00AE3CCD" w:rsidRDefault="00AE3CCD" w:rsidP="007F6C68"/>
          <w:p w:rsidR="00D45AC9" w:rsidRDefault="00D45AC9" w:rsidP="007F6C68"/>
          <w:p w:rsidR="00AE3CCD" w:rsidRPr="0011007B" w:rsidRDefault="00AE3CCD" w:rsidP="007F6C68"/>
        </w:tc>
      </w:tr>
      <w:tr w:rsidR="00AE3CCD" w:rsidRPr="00086622" w:rsidTr="00C64883">
        <w:tc>
          <w:tcPr>
            <w:tcW w:w="9351" w:type="dxa"/>
            <w:gridSpan w:val="5"/>
            <w:shd w:val="clear" w:color="auto" w:fill="B1CBE9"/>
          </w:tcPr>
          <w:p w:rsidR="00AE3CCD" w:rsidRPr="00086622" w:rsidRDefault="00AE3CCD" w:rsidP="00966DED">
            <w:pPr>
              <w:jc w:val="center"/>
              <w:rPr>
                <w:b/>
              </w:rPr>
            </w:pPr>
            <w:r>
              <w:rPr>
                <w:b/>
              </w:rPr>
              <w:t xml:space="preserve">Action taken in response to investigation </w:t>
            </w:r>
            <w:r w:rsidR="00C30DC4">
              <w:rPr>
                <w:b/>
              </w:rPr>
              <w:t>findings</w:t>
            </w:r>
          </w:p>
        </w:tc>
      </w:tr>
      <w:tr w:rsidR="00AE3CCD" w:rsidRPr="00086622" w:rsidTr="00AB4806">
        <w:tc>
          <w:tcPr>
            <w:tcW w:w="7508" w:type="dxa"/>
            <w:gridSpan w:val="3"/>
            <w:shd w:val="clear" w:color="auto" w:fill="B1CBE9"/>
          </w:tcPr>
          <w:p w:rsidR="00AE3CCD" w:rsidRDefault="00AE3CCD" w:rsidP="00AE3CCD">
            <w:r>
              <w:t>Action</w:t>
            </w:r>
          </w:p>
        </w:tc>
        <w:tc>
          <w:tcPr>
            <w:tcW w:w="1134" w:type="dxa"/>
            <w:shd w:val="clear" w:color="auto" w:fill="B1CBE9"/>
          </w:tcPr>
          <w:p w:rsidR="00AE3CCD" w:rsidRDefault="00AE3CCD" w:rsidP="00AE3CCD">
            <w:r>
              <w:t>By</w:t>
            </w:r>
          </w:p>
        </w:tc>
        <w:tc>
          <w:tcPr>
            <w:tcW w:w="709" w:type="dxa"/>
            <w:shd w:val="clear" w:color="auto" w:fill="B1CBE9"/>
          </w:tcPr>
          <w:p w:rsidR="00AE3CCD" w:rsidRDefault="00AE3CCD" w:rsidP="00C64883">
            <w:pPr>
              <w:rPr>
                <w:b/>
              </w:rPr>
            </w:pPr>
            <w:r w:rsidRPr="00AB4806">
              <w:t>Date</w:t>
            </w:r>
          </w:p>
        </w:tc>
      </w:tr>
      <w:tr w:rsidR="00C30DC4" w:rsidTr="00AB4806">
        <w:trPr>
          <w:trHeight w:val="275"/>
        </w:trPr>
        <w:tc>
          <w:tcPr>
            <w:tcW w:w="7508" w:type="dxa"/>
            <w:gridSpan w:val="3"/>
            <w:shd w:val="clear" w:color="auto" w:fill="auto"/>
          </w:tcPr>
          <w:p w:rsidR="00C30DC4" w:rsidRDefault="00C30DC4" w:rsidP="007F6C68"/>
          <w:p w:rsidR="00966DED" w:rsidRDefault="00966DED" w:rsidP="007F6C68"/>
          <w:p w:rsidR="00966DED" w:rsidRDefault="00966DED" w:rsidP="007F6C68"/>
          <w:p w:rsidR="00C30DC4" w:rsidRPr="00086622" w:rsidRDefault="00C30DC4" w:rsidP="007F6C68"/>
        </w:tc>
        <w:tc>
          <w:tcPr>
            <w:tcW w:w="1134" w:type="dxa"/>
            <w:shd w:val="clear" w:color="auto" w:fill="auto"/>
          </w:tcPr>
          <w:p w:rsidR="00C30DC4" w:rsidRPr="00086622" w:rsidRDefault="00C30DC4" w:rsidP="007F6C68"/>
        </w:tc>
        <w:tc>
          <w:tcPr>
            <w:tcW w:w="709" w:type="dxa"/>
            <w:shd w:val="clear" w:color="auto" w:fill="auto"/>
          </w:tcPr>
          <w:p w:rsidR="00C30DC4" w:rsidRPr="00086622" w:rsidRDefault="00C30DC4" w:rsidP="007F6C68"/>
        </w:tc>
      </w:tr>
      <w:tr w:rsidR="00C30DC4" w:rsidTr="00AB4806">
        <w:trPr>
          <w:trHeight w:val="275"/>
        </w:trPr>
        <w:tc>
          <w:tcPr>
            <w:tcW w:w="7508" w:type="dxa"/>
            <w:gridSpan w:val="3"/>
            <w:shd w:val="clear" w:color="auto" w:fill="auto"/>
          </w:tcPr>
          <w:p w:rsidR="00C30DC4" w:rsidRDefault="00C30DC4" w:rsidP="007F6C68"/>
          <w:p w:rsidR="00C30DC4" w:rsidRDefault="00C30DC4" w:rsidP="007F6C68"/>
          <w:p w:rsidR="00966DED" w:rsidRDefault="00966DED" w:rsidP="007F6C68"/>
          <w:p w:rsidR="00966DED" w:rsidRPr="00086622" w:rsidRDefault="00966DED" w:rsidP="007F6C68"/>
        </w:tc>
        <w:tc>
          <w:tcPr>
            <w:tcW w:w="1134" w:type="dxa"/>
            <w:shd w:val="clear" w:color="auto" w:fill="auto"/>
          </w:tcPr>
          <w:p w:rsidR="00C30DC4" w:rsidRPr="00086622" w:rsidRDefault="00C30DC4" w:rsidP="007F6C68"/>
        </w:tc>
        <w:tc>
          <w:tcPr>
            <w:tcW w:w="709" w:type="dxa"/>
            <w:shd w:val="clear" w:color="auto" w:fill="auto"/>
          </w:tcPr>
          <w:p w:rsidR="00C30DC4" w:rsidRPr="00086622" w:rsidRDefault="00C30DC4" w:rsidP="007F6C68"/>
        </w:tc>
      </w:tr>
      <w:tr w:rsidR="00C30DC4" w:rsidTr="00AB4806">
        <w:trPr>
          <w:trHeight w:val="275"/>
        </w:trPr>
        <w:tc>
          <w:tcPr>
            <w:tcW w:w="7508" w:type="dxa"/>
            <w:gridSpan w:val="3"/>
            <w:shd w:val="clear" w:color="auto" w:fill="auto"/>
          </w:tcPr>
          <w:p w:rsidR="00C30DC4" w:rsidRDefault="00C30DC4" w:rsidP="0010591F">
            <w:pPr>
              <w:jc w:val="right"/>
            </w:pPr>
          </w:p>
          <w:p w:rsidR="00C30DC4" w:rsidRDefault="00C30DC4" w:rsidP="0010591F">
            <w:pPr>
              <w:jc w:val="right"/>
            </w:pPr>
          </w:p>
          <w:p w:rsidR="00966DED" w:rsidRDefault="00966DED" w:rsidP="0010591F">
            <w:pPr>
              <w:jc w:val="right"/>
            </w:pPr>
          </w:p>
          <w:p w:rsidR="00966DED" w:rsidRPr="00086622" w:rsidRDefault="00966DED" w:rsidP="0010591F">
            <w:pPr>
              <w:jc w:val="right"/>
            </w:pPr>
          </w:p>
        </w:tc>
        <w:tc>
          <w:tcPr>
            <w:tcW w:w="1134" w:type="dxa"/>
            <w:shd w:val="clear" w:color="auto" w:fill="auto"/>
          </w:tcPr>
          <w:p w:rsidR="00C30DC4" w:rsidRPr="00086622" w:rsidRDefault="00C30DC4" w:rsidP="007F6C68"/>
        </w:tc>
        <w:tc>
          <w:tcPr>
            <w:tcW w:w="709" w:type="dxa"/>
            <w:shd w:val="clear" w:color="auto" w:fill="auto"/>
          </w:tcPr>
          <w:p w:rsidR="00C30DC4" w:rsidRPr="00086622" w:rsidRDefault="00C30DC4" w:rsidP="007F6C68"/>
        </w:tc>
      </w:tr>
      <w:tr w:rsidR="00D94B61" w:rsidRPr="00086622" w:rsidTr="00AD67E6">
        <w:trPr>
          <w:trHeight w:val="270"/>
        </w:trPr>
        <w:tc>
          <w:tcPr>
            <w:tcW w:w="4390" w:type="dxa"/>
            <w:gridSpan w:val="2"/>
            <w:shd w:val="clear" w:color="auto" w:fill="B1CBE9"/>
          </w:tcPr>
          <w:p w:rsidR="00D94B61" w:rsidRPr="00D45AC9" w:rsidRDefault="00D94B61" w:rsidP="0010591F">
            <w:pPr>
              <w:jc w:val="right"/>
              <w:rPr>
                <w:b/>
              </w:rPr>
            </w:pPr>
            <w:r>
              <w:t>Date full written response sent to complainant</w:t>
            </w:r>
            <w:r w:rsidR="0010591F">
              <w:rPr>
                <w:rStyle w:val="EndnoteReference"/>
              </w:rPr>
              <w:endnoteReference w:id="11"/>
            </w:r>
            <w:r w:rsidR="0010591F">
              <w:t>:</w:t>
            </w:r>
          </w:p>
        </w:tc>
        <w:tc>
          <w:tcPr>
            <w:tcW w:w="4961" w:type="dxa"/>
            <w:gridSpan w:val="3"/>
            <w:shd w:val="clear" w:color="auto" w:fill="FFFFFF" w:themeFill="background1"/>
          </w:tcPr>
          <w:p w:rsidR="00D94B61" w:rsidRDefault="00D94B61" w:rsidP="0010591F">
            <w:pPr>
              <w:jc w:val="right"/>
              <w:rPr>
                <w:b/>
              </w:rPr>
            </w:pPr>
          </w:p>
          <w:p w:rsidR="00966DED" w:rsidRPr="00D45AC9" w:rsidRDefault="00966DED" w:rsidP="0010591F">
            <w:pPr>
              <w:jc w:val="right"/>
              <w:rPr>
                <w:b/>
              </w:rPr>
            </w:pPr>
          </w:p>
        </w:tc>
      </w:tr>
      <w:tr w:rsidR="00D94B61" w:rsidRPr="00086622" w:rsidTr="00AD67E6">
        <w:trPr>
          <w:trHeight w:val="1186"/>
        </w:trPr>
        <w:tc>
          <w:tcPr>
            <w:tcW w:w="4390" w:type="dxa"/>
            <w:gridSpan w:val="2"/>
            <w:shd w:val="clear" w:color="auto" w:fill="B1CBE9"/>
          </w:tcPr>
          <w:p w:rsidR="00D94B61" w:rsidRDefault="00D94B61" w:rsidP="0010591F">
            <w:pPr>
              <w:jc w:val="right"/>
            </w:pPr>
            <w:r w:rsidRPr="0027228B">
              <w:t xml:space="preserve">If the investigation into the complaint was </w:t>
            </w:r>
            <w:r>
              <w:t xml:space="preserve">not concluded within the response period, </w:t>
            </w:r>
            <w:r w:rsidRPr="0027228B">
              <w:t>record the reason here</w:t>
            </w:r>
            <w:r w:rsidR="0010591F">
              <w:t>:</w:t>
            </w:r>
          </w:p>
          <w:p w:rsidR="0010591F" w:rsidRPr="00D45AC9" w:rsidRDefault="0010591F" w:rsidP="0010591F">
            <w:pPr>
              <w:jc w:val="right"/>
              <w:rPr>
                <w:b/>
              </w:rPr>
            </w:pPr>
          </w:p>
        </w:tc>
        <w:tc>
          <w:tcPr>
            <w:tcW w:w="4961" w:type="dxa"/>
            <w:gridSpan w:val="3"/>
            <w:shd w:val="clear" w:color="auto" w:fill="FFFFFF" w:themeFill="background1"/>
          </w:tcPr>
          <w:p w:rsidR="00D94B61" w:rsidRDefault="00D94B61" w:rsidP="0010591F">
            <w:pPr>
              <w:jc w:val="right"/>
              <w:rPr>
                <w:b/>
              </w:rPr>
            </w:pPr>
          </w:p>
          <w:p w:rsidR="00D94B61" w:rsidRDefault="00D94B61" w:rsidP="0010591F">
            <w:pPr>
              <w:jc w:val="right"/>
              <w:rPr>
                <w:b/>
              </w:rPr>
            </w:pPr>
          </w:p>
          <w:p w:rsidR="00D94B61" w:rsidRDefault="00D94B61" w:rsidP="00AD67E6">
            <w:pPr>
              <w:jc w:val="center"/>
              <w:rPr>
                <w:b/>
              </w:rPr>
            </w:pPr>
          </w:p>
          <w:p w:rsidR="00AD67E6" w:rsidRDefault="00AD67E6" w:rsidP="00AD67E6">
            <w:pPr>
              <w:rPr>
                <w:b/>
              </w:rPr>
            </w:pPr>
          </w:p>
          <w:p w:rsidR="00AD67E6" w:rsidRDefault="00AD67E6" w:rsidP="00AD67E6">
            <w:pPr>
              <w:rPr>
                <w:b/>
              </w:rPr>
            </w:pPr>
          </w:p>
          <w:p w:rsidR="0010591F" w:rsidRDefault="0010591F" w:rsidP="0010591F">
            <w:pPr>
              <w:rPr>
                <w:b/>
              </w:rPr>
            </w:pPr>
          </w:p>
          <w:p w:rsidR="0010591F" w:rsidRPr="00D45AC9" w:rsidRDefault="0010591F" w:rsidP="0010591F">
            <w:pPr>
              <w:rPr>
                <w:b/>
              </w:rPr>
            </w:pPr>
          </w:p>
        </w:tc>
      </w:tr>
      <w:tr w:rsidR="00521A10" w:rsidRPr="00086622" w:rsidTr="00AD67E6">
        <w:trPr>
          <w:trHeight w:val="524"/>
        </w:trPr>
        <w:tc>
          <w:tcPr>
            <w:tcW w:w="4390" w:type="dxa"/>
            <w:gridSpan w:val="2"/>
            <w:shd w:val="clear" w:color="auto" w:fill="B1CBE9"/>
          </w:tcPr>
          <w:p w:rsidR="00521A10" w:rsidRPr="0027228B" w:rsidRDefault="00521A10" w:rsidP="0010591F">
            <w:pPr>
              <w:jc w:val="right"/>
            </w:pPr>
            <w:r w:rsidRPr="0027228B">
              <w:t>Cl</w:t>
            </w:r>
            <w:r>
              <w:t>osure</w:t>
            </w:r>
            <w:r>
              <w:rPr>
                <w:rStyle w:val="EndnoteReference"/>
              </w:rPr>
              <w:endnoteReference w:id="12"/>
            </w:r>
            <w:r>
              <w:t xml:space="preserve"> of complaint authorised </w:t>
            </w:r>
            <w:r w:rsidRPr="0027228B">
              <w:t>by</w:t>
            </w:r>
            <w:r>
              <w:t>:</w:t>
            </w:r>
          </w:p>
        </w:tc>
        <w:tc>
          <w:tcPr>
            <w:tcW w:w="4961" w:type="dxa"/>
            <w:gridSpan w:val="3"/>
            <w:shd w:val="clear" w:color="auto" w:fill="B1CBE9"/>
          </w:tcPr>
          <w:p w:rsidR="00521A10" w:rsidRPr="00D45AC9" w:rsidRDefault="00521A10" w:rsidP="00C64883">
            <w:pPr>
              <w:rPr>
                <w:b/>
              </w:rPr>
            </w:pPr>
          </w:p>
        </w:tc>
      </w:tr>
      <w:tr w:rsidR="00521A10" w:rsidRPr="00086622" w:rsidTr="00AD67E6">
        <w:trPr>
          <w:trHeight w:val="389"/>
        </w:trPr>
        <w:tc>
          <w:tcPr>
            <w:tcW w:w="4390" w:type="dxa"/>
            <w:gridSpan w:val="2"/>
            <w:shd w:val="clear" w:color="auto" w:fill="B1CBE9"/>
          </w:tcPr>
          <w:p w:rsidR="00521A10" w:rsidRPr="0027228B" w:rsidRDefault="00521A10" w:rsidP="00D94B61">
            <w:pPr>
              <w:jc w:val="right"/>
            </w:pPr>
            <w:r>
              <w:t>Date:</w:t>
            </w:r>
          </w:p>
        </w:tc>
        <w:tc>
          <w:tcPr>
            <w:tcW w:w="4961" w:type="dxa"/>
            <w:gridSpan w:val="3"/>
            <w:shd w:val="clear" w:color="auto" w:fill="B1CBE9"/>
          </w:tcPr>
          <w:p w:rsidR="00521A10" w:rsidRPr="0027228B" w:rsidRDefault="00521A10" w:rsidP="0010591F">
            <w:pPr>
              <w:jc w:val="center"/>
            </w:pPr>
          </w:p>
        </w:tc>
      </w:tr>
    </w:tbl>
    <w:p w:rsidR="004E4622" w:rsidRDefault="004E4622" w:rsidP="00DC6B04">
      <w:pPr>
        <w:spacing w:after="0" w:line="240" w:lineRule="auto"/>
      </w:pPr>
    </w:p>
    <w:sectPr w:rsidR="004E4622" w:rsidSect="00DC234A">
      <w:headerReference w:type="default" r:id="rId8"/>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34A" w:rsidRDefault="00DC234A" w:rsidP="00DC234A">
      <w:pPr>
        <w:spacing w:after="0" w:line="240" w:lineRule="auto"/>
      </w:pPr>
      <w:r>
        <w:separator/>
      </w:r>
    </w:p>
  </w:endnote>
  <w:endnote w:type="continuationSeparator" w:id="0">
    <w:p w:rsidR="00DC234A" w:rsidRDefault="00DC234A" w:rsidP="00DC234A">
      <w:pPr>
        <w:spacing w:after="0" w:line="240" w:lineRule="auto"/>
      </w:pPr>
      <w:r>
        <w:continuationSeparator/>
      </w:r>
    </w:p>
  </w:endnote>
  <w:endnote w:id="1">
    <w:p w:rsidR="008E6EDD" w:rsidRDefault="0061496C" w:rsidP="0061496C">
      <w:pPr>
        <w:pStyle w:val="EndnoteText"/>
      </w:pPr>
      <w:r>
        <w:rPr>
          <w:rStyle w:val="EndnoteReference"/>
        </w:rPr>
        <w:endnoteRef/>
      </w:r>
      <w:r>
        <w:t xml:space="preserve"> Complaints may be made verbally or in writing and should also be accepted via any other method, for example, the telephone or electronically. </w:t>
      </w:r>
    </w:p>
    <w:p w:rsidR="00654581" w:rsidRDefault="00654581" w:rsidP="0061496C">
      <w:pPr>
        <w:pStyle w:val="EndnoteText"/>
      </w:pPr>
    </w:p>
  </w:endnote>
  <w:endnote w:id="2">
    <w:p w:rsidR="006A4419" w:rsidRDefault="006A4419">
      <w:pPr>
        <w:pStyle w:val="EndnoteText"/>
      </w:pPr>
      <w:r>
        <w:rPr>
          <w:rStyle w:val="EndnoteReference"/>
        </w:rPr>
        <w:endnoteRef/>
      </w:r>
      <w:r>
        <w:t xml:space="preserve"> This is the date of receipt if the complaint is in writing, or the date when an oral complaint is made. </w:t>
      </w:r>
    </w:p>
    <w:p w:rsidR="00654581" w:rsidRDefault="00DC6B04" w:rsidP="00DC6B04">
      <w:pPr>
        <w:pStyle w:val="EndnoteText"/>
      </w:pPr>
      <w:r w:rsidRPr="00A54A20">
        <w:rPr>
          <w:u w:val="single"/>
        </w:rPr>
        <w:t>Timescales:</w:t>
      </w:r>
      <w:r>
        <w:t xml:space="preserve"> If a complainant was not aware that there was cause for complaint, the complaint should normally be made within six months of their becoming aware of the cause for complaint, or within twelve months of the date of the event, whichever is the earlier. There is discretion for the Complaints Manager to extend this time limit where it would be unreasonable in the circumstances of a particular case for the complaint to have been made earlier and where it is still possible to investigate the facts of the case.</w:t>
      </w:r>
    </w:p>
    <w:p w:rsidR="008E6EDD" w:rsidRDefault="008E6EDD" w:rsidP="00413E8B">
      <w:pPr>
        <w:pStyle w:val="EndnoteText"/>
      </w:pPr>
    </w:p>
  </w:endnote>
  <w:endnote w:id="3">
    <w:p w:rsidR="00AD67E6" w:rsidRDefault="00AD67E6">
      <w:pPr>
        <w:pStyle w:val="EndnoteText"/>
      </w:pPr>
      <w:r>
        <w:rPr>
          <w:rStyle w:val="EndnoteReference"/>
        </w:rPr>
        <w:endnoteRef/>
      </w:r>
      <w:r>
        <w:t xml:space="preserve"> E</w:t>
      </w:r>
      <w:r w:rsidRPr="00AD67E6">
        <w:t xml:space="preserve">ach pharmacy must specify a person </w:t>
      </w:r>
      <w:r w:rsidR="00A54A20">
        <w:t xml:space="preserve">– Complaints Manager, </w:t>
      </w:r>
      <w:r w:rsidRPr="00AD67E6">
        <w:t>to be responsible for receiving and investigating all complaints</w:t>
      </w:r>
    </w:p>
    <w:p w:rsidR="00AD67E6" w:rsidRDefault="00AD67E6">
      <w:pPr>
        <w:pStyle w:val="EndnoteText"/>
      </w:pPr>
    </w:p>
  </w:endnote>
  <w:endnote w:id="4">
    <w:p w:rsidR="0061496C" w:rsidRDefault="0061496C">
      <w:pPr>
        <w:pStyle w:val="EndnoteText"/>
      </w:pPr>
      <w:r>
        <w:rPr>
          <w:rStyle w:val="EndnoteReference"/>
        </w:rPr>
        <w:endnoteRef/>
      </w:r>
      <w:r>
        <w:t xml:space="preserve"> </w:t>
      </w:r>
      <w:r w:rsidRPr="0061496C">
        <w:t>Complaints may be made to any member of staff</w:t>
      </w:r>
    </w:p>
    <w:p w:rsidR="008E6EDD" w:rsidRDefault="008E6EDD">
      <w:pPr>
        <w:pStyle w:val="EndnoteText"/>
      </w:pPr>
    </w:p>
  </w:endnote>
  <w:endnote w:id="5">
    <w:p w:rsidR="00925025" w:rsidRDefault="00925025" w:rsidP="008E6EDD">
      <w:pPr>
        <w:pStyle w:val="EndnoteText"/>
      </w:pPr>
      <w:r>
        <w:rPr>
          <w:rStyle w:val="EndnoteReference"/>
        </w:rPr>
        <w:endnoteRef/>
      </w:r>
      <w:r>
        <w:t xml:space="preserve"> A complaint may be made o</w:t>
      </w:r>
      <w:r w:rsidR="006A4419">
        <w:t xml:space="preserve">n behalf of any person with consent or in </w:t>
      </w:r>
      <w:r w:rsidR="00966DED">
        <w:t xml:space="preserve">limited circumstances as per Terms of Service </w:t>
      </w:r>
      <w:hyperlink r:id="rId1" w:history="1">
        <w:r w:rsidR="00966DED" w:rsidRPr="00E56315">
          <w:rPr>
            <w:rStyle w:val="Hyperlink"/>
          </w:rPr>
          <w:t>http://www.hscbusiness.hscni.net/pdf/Pharm_Regs_1997.pdf</w:t>
        </w:r>
      </w:hyperlink>
    </w:p>
    <w:p w:rsidR="008E6EDD" w:rsidRDefault="008E6EDD" w:rsidP="008E6EDD">
      <w:pPr>
        <w:pStyle w:val="EndnoteText"/>
      </w:pPr>
    </w:p>
  </w:endnote>
  <w:endnote w:id="6">
    <w:p w:rsidR="008E6EDD" w:rsidRDefault="008E6EDD" w:rsidP="00AE3CCD">
      <w:pPr>
        <w:pStyle w:val="EndnoteText"/>
      </w:pPr>
      <w:r>
        <w:rPr>
          <w:rStyle w:val="EndnoteReference"/>
        </w:rPr>
        <w:endnoteRef/>
      </w:r>
      <w:r>
        <w:t xml:space="preserve"> A complaint should be acknowledged in writing within </w:t>
      </w:r>
      <w:r w:rsidRPr="00AE3CCD">
        <w:rPr>
          <w:b/>
        </w:rPr>
        <w:t>3</w:t>
      </w:r>
      <w:r>
        <w:t xml:space="preserve"> working days of receipt.</w:t>
      </w:r>
      <w:r w:rsidR="00AE3CCD" w:rsidRPr="00AE3CCD">
        <w:t xml:space="preserve"> </w:t>
      </w:r>
      <w:r w:rsidR="00AE3CCD">
        <w:t xml:space="preserve">It is good practice for the acknowledgement to be conciliatory, and indicate that a full </w:t>
      </w:r>
      <w:r w:rsidR="00027977" w:rsidRPr="00256288">
        <w:t>investigation</w:t>
      </w:r>
      <w:r w:rsidR="00027977">
        <w:t xml:space="preserve"> and </w:t>
      </w:r>
      <w:r w:rsidR="00AE3CCD">
        <w:t xml:space="preserve">response will be provided within </w:t>
      </w:r>
      <w:r w:rsidR="00AE3CCD" w:rsidRPr="00AE3CCD">
        <w:rPr>
          <w:b/>
        </w:rPr>
        <w:t>10</w:t>
      </w:r>
      <w:r w:rsidR="00AE3CCD">
        <w:t xml:space="preserve"> working days. Where these response timescales are not possible an explanation must be provided to the complainant.</w:t>
      </w:r>
      <w:r w:rsidR="00256288" w:rsidRPr="00256288">
        <w:t xml:space="preserve"> </w:t>
      </w:r>
    </w:p>
    <w:p w:rsidR="00C30DC4" w:rsidRDefault="00C30DC4" w:rsidP="00AE3CCD">
      <w:pPr>
        <w:pStyle w:val="EndnoteText"/>
      </w:pPr>
    </w:p>
  </w:endnote>
  <w:endnote w:id="7">
    <w:p w:rsidR="00D94B61" w:rsidRDefault="00D94B61" w:rsidP="00D94B61">
      <w:pPr>
        <w:pStyle w:val="EndnoteText"/>
      </w:pPr>
      <w:r>
        <w:rPr>
          <w:rStyle w:val="EndnoteReference"/>
        </w:rPr>
        <w:endnoteRef/>
      </w:r>
      <w:r>
        <w:t xml:space="preserve"> The HSC Board Complaints Officer may act as ‘Honest Broker’. Within this capacity the Board’s Complaints Officers will act as an intermediary; where appropriate make arrangements for independent expert advice, conciliation, lay person assistance and ensure complainant is kept informed about the progress of the complaint.</w:t>
      </w:r>
      <w:r w:rsidRPr="00256288">
        <w:t xml:space="preserve"> If the HSC Board is involved as an ‘honest broker’ responding within the response time of 1</w:t>
      </w:r>
      <w:r w:rsidR="00027977">
        <w:t>0 working days is less likely t</w:t>
      </w:r>
      <w:r w:rsidRPr="00256288">
        <w:t>herefore the legislation has been amended (June 2013) to allow for a 20 working day timeframe.</w:t>
      </w:r>
    </w:p>
    <w:p w:rsidR="00D94B61" w:rsidRDefault="00D94B61" w:rsidP="00D94B61">
      <w:pPr>
        <w:pStyle w:val="EndnoteText"/>
      </w:pPr>
    </w:p>
  </w:endnote>
  <w:endnote w:id="8">
    <w:p w:rsidR="00451C5B" w:rsidRDefault="00451C5B">
      <w:pPr>
        <w:pStyle w:val="EndnoteText"/>
      </w:pPr>
      <w:r>
        <w:rPr>
          <w:rStyle w:val="EndnoteReference"/>
        </w:rPr>
        <w:endnoteRef/>
      </w:r>
      <w:r>
        <w:t xml:space="preserve"> </w:t>
      </w:r>
      <w:r w:rsidRPr="00451C5B">
        <w:t>The Patient and Client Council is an independent body set up to represent patients’ interests in health and social care. PCC will assist patients at any stage of the complaint by providing advice and support.</w:t>
      </w:r>
    </w:p>
    <w:p w:rsidR="00451C5B" w:rsidRDefault="00451C5B">
      <w:pPr>
        <w:pStyle w:val="EndnoteText"/>
      </w:pPr>
    </w:p>
  </w:endnote>
  <w:endnote w:id="9">
    <w:p w:rsidR="00D94B61" w:rsidRDefault="00D94B61" w:rsidP="00D94B61">
      <w:pPr>
        <w:pStyle w:val="EndnoteText"/>
      </w:pPr>
      <w:r>
        <w:rPr>
          <w:rStyle w:val="EndnoteReference"/>
        </w:rPr>
        <w:endnoteRef/>
      </w:r>
      <w:r>
        <w:t xml:space="preserve"> The complainant must be informed of their right to refer their complaint to the Ombudsman if they remain dissatisfied with the outcome of the complaints procedure. </w:t>
      </w:r>
      <w:r>
        <w:cr/>
      </w:r>
    </w:p>
  </w:endnote>
  <w:endnote w:id="10">
    <w:p w:rsidR="00256288" w:rsidRDefault="00256288" w:rsidP="00256288">
      <w:pPr>
        <w:pStyle w:val="EndnoteText"/>
      </w:pPr>
      <w:r>
        <w:rPr>
          <w:rStyle w:val="EndnoteReference"/>
        </w:rPr>
        <w:endnoteRef/>
      </w:r>
      <w:r>
        <w:t xml:space="preserve"> (</w:t>
      </w:r>
      <w:r w:rsidRPr="00256288">
        <w:t>The HSCB also has a policy for the management of complaints which is not</w:t>
      </w:r>
      <w:r>
        <w:t xml:space="preserve"> currently</w:t>
      </w:r>
      <w:r w:rsidRPr="00256288">
        <w:t xml:space="preserve"> </w:t>
      </w:r>
      <w:r w:rsidR="00877483">
        <w:t xml:space="preserve">(Aug ’15) </w:t>
      </w:r>
      <w:r w:rsidR="00A54A20">
        <w:t>included in</w:t>
      </w:r>
      <w:r w:rsidRPr="00256288">
        <w:t xml:space="preserve"> Terms of Service, but pharmacies may wish to comply with this policy at their discretion</w:t>
      </w:r>
      <w:r>
        <w:t>)</w:t>
      </w:r>
      <w:r w:rsidRPr="00256288">
        <w:t xml:space="preserve">. </w:t>
      </w:r>
    </w:p>
    <w:p w:rsidR="00256288" w:rsidRDefault="00256288" w:rsidP="00256288">
      <w:pPr>
        <w:pStyle w:val="EndnoteText"/>
      </w:pPr>
      <w:r>
        <w:t>HSCB’s complaints policy requires pharmacies to provide the following documentation to the HSC Board:</w:t>
      </w:r>
    </w:p>
    <w:p w:rsidR="00256288" w:rsidRDefault="00256288" w:rsidP="00AD67E6">
      <w:pPr>
        <w:pStyle w:val="EndnoteText"/>
        <w:numPr>
          <w:ilvl w:val="0"/>
          <w:numId w:val="4"/>
        </w:numPr>
        <w:ind w:left="142" w:hanging="142"/>
      </w:pPr>
      <w:r>
        <w:t xml:space="preserve">Anonymised copies of each written letter of complaint and response letter, within 3 working days of the written response being issued to the complainant. The reason for this action is that the HSC Board </w:t>
      </w:r>
      <w:r w:rsidR="0027228B">
        <w:t>is required</w:t>
      </w:r>
      <w:r>
        <w:t xml:space="preserve"> to monitor complaints against family health service practitioners. A copy of the patient complaint and the pharmacy response is shared with Medical Advisors within the HSC Board. Upon review, if they have any concerns of a clinical or professional nature, they will contact th</w:t>
      </w:r>
      <w:r w:rsidR="0027228B">
        <w:t>e pharmacy</w:t>
      </w:r>
      <w:r w:rsidR="00A54A20">
        <w:t xml:space="preserve"> for further information. </w:t>
      </w:r>
    </w:p>
    <w:p w:rsidR="00256288" w:rsidRDefault="00256288" w:rsidP="00AD67E6">
      <w:pPr>
        <w:pStyle w:val="EndnoteText"/>
        <w:numPr>
          <w:ilvl w:val="0"/>
          <w:numId w:val="4"/>
        </w:numPr>
        <w:ind w:left="142" w:hanging="142"/>
      </w:pPr>
      <w:r>
        <w:t>Patients should be aware that an anonymised copy of their correspondence will be provided to the HSC Board. The HSC Board may require additional information for monitoring purposes, such as copies of correspondence received from the Ombudsman.</w:t>
      </w:r>
    </w:p>
    <w:p w:rsidR="00D94B61" w:rsidRDefault="00D94B61" w:rsidP="00D94B61">
      <w:pPr>
        <w:pStyle w:val="EndnoteText"/>
        <w:ind w:left="720"/>
      </w:pPr>
    </w:p>
  </w:endnote>
  <w:endnote w:id="11">
    <w:p w:rsidR="0010591F" w:rsidRDefault="0010591F" w:rsidP="0010591F">
      <w:pPr>
        <w:pStyle w:val="EndnoteText"/>
      </w:pPr>
      <w:r>
        <w:rPr>
          <w:rStyle w:val="EndnoteReference"/>
        </w:rPr>
        <w:endnoteRef/>
      </w:r>
      <w:r>
        <w:t xml:space="preserve"> A full investigation of a complaint should normally be completed within </w:t>
      </w:r>
      <w:r w:rsidRPr="0010591F">
        <w:rPr>
          <w:b/>
        </w:rPr>
        <w:t>10</w:t>
      </w:r>
      <w:r>
        <w:t xml:space="preserve"> working days </w:t>
      </w:r>
    </w:p>
    <w:p w:rsidR="0010591F" w:rsidRDefault="0010591F" w:rsidP="0010591F">
      <w:pPr>
        <w:pStyle w:val="EndnoteText"/>
      </w:pPr>
    </w:p>
  </w:endnote>
  <w:endnote w:id="12">
    <w:p w:rsidR="00521A10" w:rsidRDefault="00521A10">
      <w:pPr>
        <w:pStyle w:val="EndnoteText"/>
      </w:pPr>
      <w:r>
        <w:rPr>
          <w:rStyle w:val="EndnoteReference"/>
        </w:rPr>
        <w:endnoteRef/>
      </w:r>
      <w:r>
        <w:t xml:space="preserve"> </w:t>
      </w:r>
      <w:r w:rsidRPr="00D94B61">
        <w:t>Once all steps have been taken, the complaint can be closed. The responsible person must be satisfied that procedures have been followed and ensure that action has been taken if necessary in the light of the outcome of a complaint.</w:t>
      </w:r>
    </w:p>
    <w:p w:rsidR="00AB4806" w:rsidRPr="00AB4806" w:rsidRDefault="00AB4806">
      <w:pPr>
        <w:pStyle w:val="EndnoteText"/>
        <w:rPr>
          <w:sz w:val="10"/>
        </w:rPr>
      </w:pPr>
    </w:p>
    <w:p w:rsidR="00AD67E6" w:rsidRDefault="00AD67E6">
      <w:pPr>
        <w:pStyle w:val="EndnoteText"/>
        <w:rPr>
          <w:b/>
        </w:rPr>
      </w:pPr>
      <w:r w:rsidRPr="00AD67E6">
        <w:rPr>
          <w:b/>
        </w:rPr>
        <w:t>For further information:</w:t>
      </w:r>
    </w:p>
    <w:p w:rsidR="00AD67E6" w:rsidRDefault="00AD67E6">
      <w:pPr>
        <w:pStyle w:val="EndnoteText"/>
      </w:pPr>
      <w:r>
        <w:t>Factsheet</w:t>
      </w:r>
      <w:r w:rsidRPr="00AD67E6">
        <w:rPr>
          <w:b/>
        </w:rPr>
        <w:t xml:space="preserve"> 4</w:t>
      </w:r>
      <w:r>
        <w:t xml:space="preserve"> Complaints -  in the Members</w:t>
      </w:r>
      <w:r w:rsidR="005C7BA0">
        <w:t>’</w:t>
      </w:r>
      <w:r>
        <w:t xml:space="preserve"> area of CPNI’s website  </w:t>
      </w:r>
      <w:hyperlink r:id="rId2" w:history="1">
        <w:r w:rsidRPr="00E56315">
          <w:rPr>
            <w:rStyle w:val="Hyperlink"/>
          </w:rPr>
          <w:t>http://www.communitypharmacyni.co.uk/</w:t>
        </w:r>
      </w:hyperlink>
    </w:p>
    <w:p w:rsidR="00AB4806" w:rsidRDefault="00AD67E6">
      <w:pPr>
        <w:pStyle w:val="EndnoteText"/>
      </w:pPr>
      <w:r>
        <w:t xml:space="preserve">HSCB policy </w:t>
      </w:r>
      <w:r w:rsidR="00AB4806">
        <w:t xml:space="preserve">on the management of complaints </w:t>
      </w:r>
      <w:hyperlink r:id="rId3" w:history="1">
        <w:r w:rsidR="00AB4806" w:rsidRPr="00E56315">
          <w:rPr>
            <w:rStyle w:val="Hyperlink"/>
          </w:rPr>
          <w:t>http://www.hscbusiness.hscni.net/services/2659.htm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F22" w:rsidRDefault="00E07F22">
    <w:pPr>
      <w:pStyle w:val="Footer"/>
    </w:pPr>
  </w:p>
  <w:p w:rsidR="00E07F22" w:rsidRDefault="00E07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34A" w:rsidRDefault="00DC234A" w:rsidP="00DC234A">
      <w:pPr>
        <w:spacing w:after="0" w:line="240" w:lineRule="auto"/>
      </w:pPr>
      <w:r>
        <w:separator/>
      </w:r>
    </w:p>
  </w:footnote>
  <w:footnote w:type="continuationSeparator" w:id="0">
    <w:p w:rsidR="00DC234A" w:rsidRDefault="00DC234A" w:rsidP="00DC2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34A" w:rsidRDefault="007F6C68" w:rsidP="00AD67E6">
    <w:pPr>
      <w:keepNext/>
      <w:keepLines/>
      <w:spacing w:after="0" w:line="240" w:lineRule="auto"/>
      <w:jc w:val="center"/>
      <w:outlineLvl w:val="0"/>
      <w:rPr>
        <w:rFonts w:asciiTheme="majorHAnsi" w:eastAsiaTheme="majorEastAsia" w:hAnsiTheme="majorHAnsi" w:cstheme="majorBidi"/>
        <w:b/>
        <w:caps/>
        <w:color w:val="0070C0"/>
        <w:sz w:val="40"/>
        <w:szCs w:val="40"/>
      </w:rPr>
    </w:pPr>
    <w:r>
      <w:rPr>
        <w:rFonts w:asciiTheme="majorHAnsi" w:eastAsiaTheme="majorEastAsia" w:hAnsiTheme="majorHAnsi" w:cstheme="majorBidi"/>
        <w:b/>
        <w:caps/>
        <w:color w:val="0070C0"/>
        <w:sz w:val="40"/>
        <w:szCs w:val="40"/>
      </w:rPr>
      <w:t>complaint</w:t>
    </w:r>
    <w:r w:rsidR="00DC234A">
      <w:rPr>
        <w:rFonts w:asciiTheme="majorHAnsi" w:eastAsiaTheme="majorEastAsia" w:hAnsiTheme="majorHAnsi" w:cstheme="majorBidi"/>
        <w:b/>
        <w:caps/>
        <w:color w:val="0070C0"/>
        <w:sz w:val="40"/>
        <w:szCs w:val="40"/>
      </w:rPr>
      <w:t xml:space="preserve"> recording form</w:t>
    </w:r>
  </w:p>
  <w:p w:rsidR="00DC234A" w:rsidRPr="007F6C68" w:rsidRDefault="007F6C68" w:rsidP="00AD67E6">
    <w:pPr>
      <w:keepNext/>
      <w:keepLines/>
      <w:spacing w:after="0" w:line="240" w:lineRule="auto"/>
      <w:jc w:val="center"/>
      <w:outlineLvl w:val="0"/>
    </w:pPr>
    <w:r>
      <w:t>A complaint is “any expression of dissatisfaction which requires a response” (HSCB)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60241"/>
    <w:multiLevelType w:val="hybridMultilevel"/>
    <w:tmpl w:val="9EB403F0"/>
    <w:lvl w:ilvl="0" w:tplc="F744944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D20FE"/>
    <w:multiLevelType w:val="hybridMultilevel"/>
    <w:tmpl w:val="935E1E88"/>
    <w:lvl w:ilvl="0" w:tplc="631A519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72C76"/>
    <w:multiLevelType w:val="hybridMultilevel"/>
    <w:tmpl w:val="7C3A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B248E"/>
    <w:multiLevelType w:val="hybridMultilevel"/>
    <w:tmpl w:val="A98840F4"/>
    <w:lvl w:ilvl="0" w:tplc="C0EEE32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59"/>
    <w:rsid w:val="00027977"/>
    <w:rsid w:val="00086622"/>
    <w:rsid w:val="000D57A6"/>
    <w:rsid w:val="0010591F"/>
    <w:rsid w:val="0011007B"/>
    <w:rsid w:val="00115084"/>
    <w:rsid w:val="001500A6"/>
    <w:rsid w:val="00221D59"/>
    <w:rsid w:val="00256288"/>
    <w:rsid w:val="0027228B"/>
    <w:rsid w:val="002E45BD"/>
    <w:rsid w:val="003026C6"/>
    <w:rsid w:val="00413E8B"/>
    <w:rsid w:val="00451C5B"/>
    <w:rsid w:val="00484A36"/>
    <w:rsid w:val="004E4622"/>
    <w:rsid w:val="00521A10"/>
    <w:rsid w:val="005C7BA0"/>
    <w:rsid w:val="0061496C"/>
    <w:rsid w:val="006165E0"/>
    <w:rsid w:val="00654387"/>
    <w:rsid w:val="00654581"/>
    <w:rsid w:val="00664BE1"/>
    <w:rsid w:val="006A4419"/>
    <w:rsid w:val="007F6C68"/>
    <w:rsid w:val="00877483"/>
    <w:rsid w:val="008E6EDD"/>
    <w:rsid w:val="00925025"/>
    <w:rsid w:val="00966DED"/>
    <w:rsid w:val="00A54A20"/>
    <w:rsid w:val="00A61C04"/>
    <w:rsid w:val="00AB4806"/>
    <w:rsid w:val="00AD64E2"/>
    <w:rsid w:val="00AD67E6"/>
    <w:rsid w:val="00AE3CCD"/>
    <w:rsid w:val="00B05F21"/>
    <w:rsid w:val="00B6506F"/>
    <w:rsid w:val="00B80C05"/>
    <w:rsid w:val="00C00CE8"/>
    <w:rsid w:val="00C30DC4"/>
    <w:rsid w:val="00C81B35"/>
    <w:rsid w:val="00CA5F0B"/>
    <w:rsid w:val="00D45AC9"/>
    <w:rsid w:val="00D94B61"/>
    <w:rsid w:val="00DC234A"/>
    <w:rsid w:val="00DC6B04"/>
    <w:rsid w:val="00E07F22"/>
    <w:rsid w:val="00EA30E4"/>
    <w:rsid w:val="00F31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4360577F-DE40-4611-BD97-C4575310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2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34A"/>
  </w:style>
  <w:style w:type="paragraph" w:styleId="Footer">
    <w:name w:val="footer"/>
    <w:basedOn w:val="Normal"/>
    <w:link w:val="FooterChar"/>
    <w:uiPriority w:val="99"/>
    <w:unhideWhenUsed/>
    <w:rsid w:val="00DC2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34A"/>
  </w:style>
  <w:style w:type="paragraph" w:customStyle="1" w:styleId="normal1">
    <w:name w:val="normal1"/>
    <w:basedOn w:val="Normal"/>
    <w:rsid w:val="004E4622"/>
    <w:pPr>
      <w:spacing w:after="0" w:line="240" w:lineRule="auto"/>
    </w:pPr>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4E462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0C05"/>
    <w:rPr>
      <w:color w:val="0563C1" w:themeColor="hyperlink"/>
      <w:u w:val="single"/>
    </w:rPr>
  </w:style>
  <w:style w:type="paragraph" w:styleId="EndnoteText">
    <w:name w:val="endnote text"/>
    <w:basedOn w:val="Normal"/>
    <w:link w:val="EndnoteTextChar"/>
    <w:uiPriority w:val="99"/>
    <w:unhideWhenUsed/>
    <w:rsid w:val="00925025"/>
    <w:pPr>
      <w:spacing w:after="0" w:line="240" w:lineRule="auto"/>
    </w:pPr>
    <w:rPr>
      <w:sz w:val="20"/>
      <w:szCs w:val="20"/>
    </w:rPr>
  </w:style>
  <w:style w:type="character" w:customStyle="1" w:styleId="EndnoteTextChar">
    <w:name w:val="Endnote Text Char"/>
    <w:basedOn w:val="DefaultParagraphFont"/>
    <w:link w:val="EndnoteText"/>
    <w:uiPriority w:val="99"/>
    <w:rsid w:val="00925025"/>
    <w:rPr>
      <w:sz w:val="20"/>
      <w:szCs w:val="20"/>
    </w:rPr>
  </w:style>
  <w:style w:type="character" w:styleId="EndnoteReference">
    <w:name w:val="endnote reference"/>
    <w:basedOn w:val="DefaultParagraphFont"/>
    <w:uiPriority w:val="99"/>
    <w:semiHidden/>
    <w:unhideWhenUsed/>
    <w:rsid w:val="00925025"/>
    <w:rPr>
      <w:vertAlign w:val="superscript"/>
    </w:rPr>
  </w:style>
  <w:style w:type="paragraph" w:styleId="FootnoteText">
    <w:name w:val="footnote text"/>
    <w:basedOn w:val="Normal"/>
    <w:link w:val="FootnoteTextChar"/>
    <w:uiPriority w:val="99"/>
    <w:semiHidden/>
    <w:unhideWhenUsed/>
    <w:rsid w:val="00614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96C"/>
    <w:rPr>
      <w:sz w:val="20"/>
      <w:szCs w:val="20"/>
    </w:rPr>
  </w:style>
  <w:style w:type="character" w:styleId="FootnoteReference">
    <w:name w:val="footnote reference"/>
    <w:basedOn w:val="DefaultParagraphFont"/>
    <w:uiPriority w:val="99"/>
    <w:semiHidden/>
    <w:unhideWhenUsed/>
    <w:rsid w:val="00614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hscbusiness.hscni.net/services/2659.htm" TargetMode="External"/><Relationship Id="rId2" Type="http://schemas.openxmlformats.org/officeDocument/2006/relationships/hyperlink" Target="http://www.communitypharmacyni.co.uk/" TargetMode="External"/><Relationship Id="rId1" Type="http://schemas.openxmlformats.org/officeDocument/2006/relationships/hyperlink" Target="http://www.hscbusiness.hscni.net/pdf/Pharm_Regs_19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118EC-0D54-4B83-92F9-66D9D678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Grimes</dc:creator>
  <cp:keywords/>
  <dc:description/>
  <cp:lastModifiedBy>Kerry Grimes</cp:lastModifiedBy>
  <cp:revision>2</cp:revision>
  <dcterms:created xsi:type="dcterms:W3CDTF">2016-02-19T13:08:00Z</dcterms:created>
  <dcterms:modified xsi:type="dcterms:W3CDTF">2016-02-19T13:08:00Z</dcterms:modified>
</cp:coreProperties>
</file>